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1BF8" w:rsidRDefault="00541BF8">
      <w:r>
        <w:t>CHECK LIST DI CONTROLLO SULLA GESTIONE DELLE ENTRATE E DELLE SPESE NELL’ENTE LOCALE</w:t>
      </w:r>
    </w:p>
    <w:p w:rsidR="00541BF8" w:rsidRDefault="00541BF8">
      <w:r>
        <w:t>A cura di Davide Barberis</w:t>
      </w:r>
    </w:p>
    <w:p w:rsidR="00541BF8" w:rsidRDefault="00541BF8"/>
    <w:tbl>
      <w:tblPr>
        <w:tblW w:w="0" w:type="auto"/>
        <w:tblCellMar>
          <w:left w:w="0" w:type="dxa"/>
          <w:right w:w="0" w:type="dxa"/>
        </w:tblCellMar>
        <w:tblLook w:val="04A0" w:firstRow="1" w:lastRow="0" w:firstColumn="1" w:lastColumn="0" w:noHBand="0" w:noVBand="1"/>
      </w:tblPr>
      <w:tblGrid>
        <w:gridCol w:w="2164"/>
        <w:gridCol w:w="6728"/>
        <w:gridCol w:w="320"/>
        <w:gridCol w:w="406"/>
      </w:tblGrid>
      <w:tr w:rsidR="00FD647C" w:rsidRPr="00D919AD"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tcPr>
          <w:p w:rsidR="00FD647C" w:rsidRPr="00FD647C" w:rsidRDefault="00FD647C" w:rsidP="00FD647C">
            <w:pPr>
              <w:spacing w:after="0" w:line="240" w:lineRule="auto"/>
              <w:rPr>
                <w:rFonts w:cstheme="minorHAnsi"/>
                <w:b/>
                <w:bCs/>
                <w:sz w:val="20"/>
                <w:szCs w:val="20"/>
              </w:rPr>
            </w:pPr>
            <w:r w:rsidRPr="00FD647C">
              <w:rPr>
                <w:rFonts w:cstheme="minorHAnsi"/>
                <w:b/>
                <w:bCs/>
                <w:sz w:val="20"/>
                <w:szCs w:val="20"/>
              </w:rPr>
              <w:t>FASE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tcPr>
          <w:p w:rsidR="00FD647C" w:rsidRPr="00FD647C" w:rsidRDefault="00FD647C" w:rsidP="00FD647C">
            <w:pPr>
              <w:spacing w:after="0" w:line="240" w:lineRule="auto"/>
              <w:rPr>
                <w:rFonts w:cstheme="minorHAnsi"/>
                <w:b/>
                <w:bCs/>
                <w:sz w:val="20"/>
                <w:szCs w:val="20"/>
              </w:rPr>
            </w:pPr>
            <w:r w:rsidRPr="00FD647C">
              <w:rPr>
                <w:rFonts w:cstheme="minorHAnsi"/>
                <w:b/>
                <w:bCs/>
                <w:sz w:val="20"/>
                <w:szCs w:val="20"/>
              </w:rPr>
              <w:t>ACCERTAMENTO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tcPr>
          <w:p w:rsidR="00FD647C" w:rsidRPr="00D919AD" w:rsidRDefault="00FD647C" w:rsidP="00FD647C">
            <w:pPr>
              <w:spacing w:after="0" w:line="240" w:lineRule="auto"/>
              <w:rPr>
                <w:rFonts w:cstheme="minorHAnsi"/>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tcPr>
          <w:p w:rsidR="00FD647C" w:rsidRPr="00D919AD" w:rsidRDefault="00FD647C" w:rsidP="00FD647C">
            <w:pPr>
              <w:spacing w:after="0" w:line="240" w:lineRule="auto"/>
              <w:rPr>
                <w:rFonts w:cstheme="minorHAnsi"/>
                <w:sz w:val="20"/>
                <w:szCs w:val="20"/>
              </w:rPr>
            </w:pPr>
          </w:p>
        </w:tc>
      </w:tr>
      <w:tr w:rsidR="00FD647C" w:rsidRPr="00D919AD"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Accertamento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Formalizzazione amministrativa della fase dell’entrata attraverso la quale sono verificati e attestati dal soggetto cui è affidata la gestione:</w:t>
            </w:r>
          </w:p>
          <w:p w:rsidR="00D919AD" w:rsidRPr="00FD647C" w:rsidRDefault="00D919AD" w:rsidP="00FD647C">
            <w:pPr>
              <w:pStyle w:val="Paragrafoelenco"/>
              <w:numPr>
                <w:ilvl w:val="0"/>
                <w:numId w:val="8"/>
              </w:numPr>
              <w:tabs>
                <w:tab w:val="num" w:pos="720"/>
              </w:tabs>
              <w:spacing w:after="0" w:line="240" w:lineRule="auto"/>
              <w:rPr>
                <w:rFonts w:cstheme="minorHAnsi"/>
                <w:sz w:val="20"/>
                <w:szCs w:val="20"/>
              </w:rPr>
            </w:pPr>
            <w:r w:rsidRPr="00FD647C">
              <w:rPr>
                <w:rFonts w:cstheme="minorHAnsi"/>
                <w:sz w:val="20"/>
                <w:szCs w:val="20"/>
              </w:rPr>
              <w:t xml:space="preserve">la ragione del credito; </w:t>
            </w:r>
          </w:p>
          <w:p w:rsidR="00D919AD" w:rsidRPr="00FD647C" w:rsidRDefault="00D919AD" w:rsidP="00FD647C">
            <w:pPr>
              <w:pStyle w:val="Paragrafoelenco"/>
              <w:numPr>
                <w:ilvl w:val="0"/>
                <w:numId w:val="8"/>
              </w:numPr>
              <w:tabs>
                <w:tab w:val="num" w:pos="720"/>
              </w:tabs>
              <w:spacing w:after="0" w:line="240" w:lineRule="auto"/>
              <w:rPr>
                <w:rFonts w:cstheme="minorHAnsi"/>
                <w:sz w:val="20"/>
                <w:szCs w:val="20"/>
              </w:rPr>
            </w:pPr>
            <w:r w:rsidRPr="00FD647C">
              <w:rPr>
                <w:rFonts w:cstheme="minorHAnsi"/>
                <w:sz w:val="20"/>
                <w:szCs w:val="20"/>
              </w:rPr>
              <w:t xml:space="preserve">il titolo giuridico che supporta il credito; </w:t>
            </w:r>
          </w:p>
          <w:p w:rsidR="00D919AD" w:rsidRPr="00FD647C" w:rsidRDefault="00D919AD" w:rsidP="00FD647C">
            <w:pPr>
              <w:pStyle w:val="Paragrafoelenco"/>
              <w:numPr>
                <w:ilvl w:val="0"/>
                <w:numId w:val="8"/>
              </w:numPr>
              <w:tabs>
                <w:tab w:val="num" w:pos="720"/>
              </w:tabs>
              <w:spacing w:after="0" w:line="240" w:lineRule="auto"/>
              <w:rPr>
                <w:rFonts w:cstheme="minorHAnsi"/>
                <w:sz w:val="20"/>
                <w:szCs w:val="20"/>
              </w:rPr>
            </w:pPr>
            <w:r w:rsidRPr="00FD647C">
              <w:rPr>
                <w:rFonts w:cstheme="minorHAnsi"/>
                <w:sz w:val="20"/>
                <w:szCs w:val="20"/>
              </w:rPr>
              <w:t xml:space="preserve">l’individuazione del soggetto debitore; </w:t>
            </w:r>
          </w:p>
          <w:p w:rsidR="00D919AD" w:rsidRPr="00FD647C" w:rsidRDefault="00D919AD" w:rsidP="00FD647C">
            <w:pPr>
              <w:pStyle w:val="Paragrafoelenco"/>
              <w:numPr>
                <w:ilvl w:val="0"/>
                <w:numId w:val="8"/>
              </w:numPr>
              <w:tabs>
                <w:tab w:val="num" w:pos="720"/>
              </w:tabs>
              <w:spacing w:after="0" w:line="240" w:lineRule="auto"/>
              <w:rPr>
                <w:rFonts w:cstheme="minorHAnsi"/>
                <w:sz w:val="20"/>
                <w:szCs w:val="20"/>
              </w:rPr>
            </w:pPr>
            <w:r w:rsidRPr="00FD647C">
              <w:rPr>
                <w:rFonts w:cstheme="minorHAnsi"/>
                <w:sz w:val="20"/>
                <w:szCs w:val="20"/>
              </w:rPr>
              <w:t xml:space="preserve">l’ammontare del credito; </w:t>
            </w:r>
          </w:p>
          <w:p w:rsidR="00D919AD" w:rsidRPr="00FD647C" w:rsidRDefault="00D919AD" w:rsidP="00FD647C">
            <w:pPr>
              <w:pStyle w:val="Paragrafoelenco"/>
              <w:numPr>
                <w:ilvl w:val="0"/>
                <w:numId w:val="8"/>
              </w:numPr>
              <w:tabs>
                <w:tab w:val="num" w:pos="720"/>
              </w:tabs>
              <w:spacing w:after="0" w:line="240" w:lineRule="auto"/>
              <w:rPr>
                <w:rFonts w:cstheme="minorHAnsi"/>
                <w:sz w:val="20"/>
                <w:szCs w:val="20"/>
              </w:rPr>
            </w:pPr>
            <w:r w:rsidRPr="00FD647C">
              <w:rPr>
                <w:rFonts w:cstheme="minorHAnsi"/>
                <w:sz w:val="20"/>
                <w:szCs w:val="20"/>
              </w:rPr>
              <w:t xml:space="preserve">la relativa scadenza.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no </w:t>
            </w:r>
          </w:p>
        </w:tc>
      </w:tr>
      <w:tr w:rsidR="00FD647C" w:rsidRPr="00D919AD"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Processo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L’accertamento presuppone idonea documentazione e si perfeziona mediante l’atto gestionale con il quale vengono verificati ed attestati i requisiti anzidetti e con il quale si dà atto specificamente della scadenza del credito in relazione a ciascun esercizio finanziario contemplato dal bilancio di previsione.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no</w:t>
            </w:r>
          </w:p>
        </w:tc>
      </w:tr>
      <w:tr w:rsidR="00FD647C" w:rsidRPr="00D919AD"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Registrazione e imputazione contabile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L’iscrizione della posta contabile nel bilancio avviene in relazione al criterio della scadenza del credito rispetto a ciascun esercizio finanziario. L’accertamento delle entrate è effettuato nell’esercizio in cui sorge l’obbligazione attiva con imputazione contabile all’esercizio in cui scade il credito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no</w:t>
            </w:r>
          </w:p>
        </w:tc>
      </w:tr>
      <w:tr w:rsidR="00D919AD" w:rsidRPr="00D919AD"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proofErr w:type="gramStart"/>
            <w:r w:rsidRPr="00D919AD">
              <w:rPr>
                <w:rFonts w:cstheme="minorHAnsi"/>
                <w:sz w:val="20"/>
                <w:szCs w:val="20"/>
              </w:rPr>
              <w:t>Dubbia  e</w:t>
            </w:r>
            <w:proofErr w:type="gramEnd"/>
            <w:r w:rsidRPr="00D919AD">
              <w:rPr>
                <w:rFonts w:cstheme="minorHAnsi"/>
                <w:sz w:val="20"/>
                <w:szCs w:val="20"/>
              </w:rPr>
              <w:t xml:space="preserve"> difficile esazione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Sono accertate per l’intero importo del credito anche le entrate di dubbia e difficile esazione, per le quali non è certa la riscossione integrale, quali le sanzioni amministrative al codice della strada, gli oneri di urbanizzazione, i proventi derivanti dalla lotta all’evasione, ecc..</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no </w:t>
            </w:r>
          </w:p>
        </w:tc>
      </w:tr>
      <w:tr w:rsidR="00D919AD" w:rsidRPr="00D919AD"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 xml:space="preserve">Trasferimenti dello stato, </w:t>
            </w:r>
            <w:proofErr w:type="spellStart"/>
            <w:r w:rsidRPr="00D919AD">
              <w:rPr>
                <w:rFonts w:cstheme="minorHAnsi"/>
                <w:sz w:val="20"/>
                <w:szCs w:val="20"/>
              </w:rPr>
              <w:t>etc</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 xml:space="preserve">Alle entrate derivanti da trasferimenti da Stato, Regioni, altri soggetti, per le quali, a causa delle scarse informazioni disponibili, non risulti possibile individuare esattamente la natura del trasferimento entro la chiusura del rendiconto, </w:t>
            </w:r>
            <w:r w:rsidRPr="00FD647C">
              <w:rPr>
                <w:rFonts w:cstheme="minorHAnsi"/>
                <w:sz w:val="20"/>
                <w:szCs w:val="20"/>
              </w:rPr>
              <w:t>è possibile attribuire una denominazione generica</w:t>
            </w:r>
            <w:r w:rsidRPr="00D919AD">
              <w:rPr>
                <w:rFonts w:cstheme="minorHAnsi"/>
                <w:sz w:val="20"/>
                <w:szCs w:val="20"/>
              </w:rPr>
              <w:t xml:space="preserve"> che, in ogni caso, individui che trattasi di trasferimenti da Stato, di trasferimenti da Regione, </w:t>
            </w:r>
            <w:proofErr w:type="gramStart"/>
            <w:r w:rsidRPr="00D919AD">
              <w:rPr>
                <w:rFonts w:cstheme="minorHAnsi"/>
                <w:sz w:val="20"/>
                <w:szCs w:val="20"/>
              </w:rPr>
              <w:t>ecc..</w:t>
            </w:r>
            <w:proofErr w:type="gramEnd"/>
            <w:r w:rsidRPr="00D919AD">
              <w:rPr>
                <w:rFonts w:cstheme="minorHAnsi"/>
                <w:sz w:val="20"/>
                <w:szCs w:val="20"/>
              </w:rPr>
              <w:t xml:space="preserve"> Tale procedimento è diretto a garantire la corretta applicazione dell’articolo 7 del Decreto legislativo n. 118 del 2011, che prevede il divieto di imputazione provvisoria delle operazioni alle partite di giro.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no </w:t>
            </w:r>
          </w:p>
        </w:tc>
      </w:tr>
      <w:tr w:rsidR="00D919AD" w:rsidRPr="00D919AD"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Rateizzazioni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Nel caso di rateizzazione di entrate proprie l’accertamento dell’entrata è effettuato ed imputato all’esercizio in cui l’obbligazione nasce a condizione che la scadenza dell’ultima rata non sia fissata oltre i 12 mesi successivi.</w:t>
            </w:r>
          </w:p>
          <w:p w:rsidR="00D919AD" w:rsidRPr="00D919AD" w:rsidRDefault="00D919AD" w:rsidP="00FD647C">
            <w:pPr>
              <w:spacing w:after="0" w:line="240" w:lineRule="auto"/>
              <w:rPr>
                <w:rFonts w:cstheme="minorHAnsi"/>
                <w:sz w:val="20"/>
                <w:szCs w:val="20"/>
              </w:rPr>
            </w:pPr>
            <w:r w:rsidRPr="00D919AD">
              <w:rPr>
                <w:rFonts w:cstheme="minorHAnsi"/>
                <w:sz w:val="20"/>
                <w:szCs w:val="20"/>
              </w:rPr>
              <w:t>L’accertamento di entrate rateizzate oltre tale termine è effettuato nell’esercizio in cui l’obbligazione sorge con imputazione agli esercizi in cui scadono le rate.</w:t>
            </w:r>
          </w:p>
          <w:p w:rsidR="00D919AD" w:rsidRPr="00D919AD" w:rsidRDefault="00D919AD" w:rsidP="00FD647C">
            <w:pPr>
              <w:spacing w:after="0" w:line="240" w:lineRule="auto"/>
              <w:rPr>
                <w:rFonts w:cstheme="minorHAnsi"/>
                <w:sz w:val="20"/>
                <w:szCs w:val="20"/>
              </w:rPr>
            </w:pPr>
            <w:r w:rsidRPr="00D919AD">
              <w:rPr>
                <w:rFonts w:cstheme="minorHAnsi"/>
                <w:sz w:val="20"/>
                <w:szCs w:val="20"/>
              </w:rPr>
              <w:t>Gli interessi attivi relativi alla rateizzazione devono essere imputati distintamente rispetto alle entrate cui si riferiscono.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no </w:t>
            </w:r>
          </w:p>
        </w:tc>
      </w:tr>
      <w:tr w:rsidR="00D919AD" w:rsidRPr="00D919AD"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Con riferimento alle diverse tipologie di entrata la scadenza del credito: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In generale coincide con l’esigibilità del credito per le entrate tributarie ed extratributarie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no </w:t>
            </w:r>
          </w:p>
        </w:tc>
      </w:tr>
      <w:tr w:rsidR="00D919AD" w:rsidRPr="00D919AD"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 xml:space="preserve">In particolare coincide con l’esercizio finanziario in cui è adottato l’atto amministrativo di impegno relativo al contributo o al finanziamento, nel caso di entrate derivanti da trasferimenti e contributi da altre amministrazioni pubbliche, in conformità alle modalità indicate al punto 5.2 lettera c), con particolare riferimento alle modalità temporali ed alle scadenze in cui il trasferimento è erogato. A tal fine, l’ordinamento contabile prevede che ogni amministrazione pubblica, che impegna spese a favore di altre amministrazioni pubbliche, ne dia comunicazione ai destinatari. Per quanto riguarda le erogazioni effettuate dal Ministero dell’interno agli enti locali in base alla normativa vigente, il rispetto di tale principio viene assicurato attraverso la divulgazione degli importi delle cosiddette spettanze attraverso il sito internet istituzionale. Tale strumento di divulgazione può essere adottato anche dagli altri Enti. Con </w:t>
            </w:r>
            <w:r w:rsidRPr="00D919AD">
              <w:rPr>
                <w:rFonts w:cstheme="minorHAnsi"/>
                <w:sz w:val="20"/>
                <w:szCs w:val="20"/>
              </w:rPr>
              <w:lastRenderedPageBreak/>
              <w:t>riferimento ai trasferimenti ed ai contributi da amministrazioni pubbliche che non adottano il medesimo principio della competenza finanziaria, l’esigibilità dell’entrata è determinata in considerazione dell’esigibilità della stessa, a prescindere dall’esercizio di imputazione dell’impegno da parte dell’amministrazione erogante.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lastRenderedPageBreak/>
              <w:t>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no </w:t>
            </w:r>
          </w:p>
        </w:tc>
      </w:tr>
      <w:tr w:rsidR="00D919AD" w:rsidRPr="00D919AD"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Con riferimento alle diverse tipologie di entrata la scadenza del credito: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per quanto riguarda, in particolare, i “Contributi a rendicontazione”, costituiti dai trasferimenti erogati annualmente a favore di un’amministrazione sulla base della rendicontazione delle spese sostenute, e di una precedente formale deliberazione/determinazione dell’ente erogante di voler finanziare la spesa” a rendicontazione”, l’accertamento è imputato secondo le seguenti modalità, definite distintamente per i trasferimenti erogati tra amministrazioni pubbliche che adottano il principio della competenza finanziaria potenziata e per i trasferimenti erogati da soggetti che non adottano tale principio.</w:t>
            </w:r>
          </w:p>
          <w:p w:rsidR="00D919AD" w:rsidRPr="00D919AD" w:rsidRDefault="00D919AD" w:rsidP="00FD647C">
            <w:pPr>
              <w:spacing w:after="0" w:line="240" w:lineRule="auto"/>
              <w:rPr>
                <w:rFonts w:cstheme="minorHAnsi"/>
                <w:sz w:val="20"/>
                <w:szCs w:val="20"/>
              </w:rPr>
            </w:pPr>
            <w:r w:rsidRPr="00D919AD">
              <w:rPr>
                <w:rFonts w:cstheme="minorHAnsi"/>
                <w:sz w:val="20"/>
                <w:szCs w:val="20"/>
              </w:rPr>
              <w:t xml:space="preserve">In caso di trasferimenti a rendicontazione erogati da un’amministrazione che adotta il principio della competenza finanziaria potenziata, l’amministrazione beneficiaria del contributo accerta l’entrata con imputazione ai medesimi esercizi in cui l’amministrazione erogante ha registrato i corrispondenti impegni. La delibera con cui un ente decide di erogare contributi “a rendicontazione” a favore di altri </w:t>
            </w:r>
            <w:proofErr w:type="gramStart"/>
            <w:r w:rsidRPr="00D919AD">
              <w:rPr>
                <w:rFonts w:cstheme="minorHAnsi"/>
                <w:sz w:val="20"/>
                <w:szCs w:val="20"/>
              </w:rPr>
              <w:t>enti,  per</w:t>
            </w:r>
            <w:proofErr w:type="gramEnd"/>
            <w:r w:rsidRPr="00D919AD">
              <w:rPr>
                <w:rFonts w:cstheme="minorHAnsi"/>
                <w:sz w:val="20"/>
                <w:szCs w:val="20"/>
              </w:rPr>
              <w:t xml:space="preserve"> la realizzazione di determinate spese, costituisce un’obbligazione giuridicamente perfezionata, anche se condizionata alla realizzazione della spesa, a seguito della quale:</w:t>
            </w:r>
          </w:p>
          <w:p w:rsidR="00D919AD" w:rsidRPr="00D919AD" w:rsidRDefault="00D919AD" w:rsidP="00FD647C">
            <w:pPr>
              <w:numPr>
                <w:ilvl w:val="0"/>
                <w:numId w:val="2"/>
              </w:numPr>
              <w:spacing w:after="0" w:line="240" w:lineRule="auto"/>
              <w:ind w:left="0"/>
              <w:rPr>
                <w:rFonts w:cstheme="minorHAnsi"/>
                <w:sz w:val="20"/>
                <w:szCs w:val="20"/>
              </w:rPr>
            </w:pPr>
            <w:r w:rsidRPr="00D919AD">
              <w:rPr>
                <w:rFonts w:cstheme="minorHAnsi"/>
                <w:sz w:val="20"/>
                <w:szCs w:val="20"/>
              </w:rPr>
              <w:t>l’ente erogante è tenuto ad impegnare l’intera spesa prevista nella delibera, con imputazione agli esercizi in cui è prevista la realizzazione delle spese da parte dell’ente beneficiario (cronoprogramma). L’individuazione degli esercizi cui imputare la spesa per trasferimenti è effettuata sulla base dei programmi presentati dagli enti finanziati per ottenere il contributo;</w:t>
            </w:r>
          </w:p>
          <w:p w:rsidR="00D919AD" w:rsidRPr="00D919AD" w:rsidRDefault="00D919AD" w:rsidP="00FD647C">
            <w:pPr>
              <w:numPr>
                <w:ilvl w:val="0"/>
                <w:numId w:val="2"/>
              </w:numPr>
              <w:spacing w:after="0" w:line="240" w:lineRule="auto"/>
              <w:ind w:left="0"/>
              <w:rPr>
                <w:rFonts w:cstheme="minorHAnsi"/>
                <w:sz w:val="20"/>
                <w:szCs w:val="20"/>
              </w:rPr>
            </w:pPr>
            <w:r w:rsidRPr="00D919AD">
              <w:rPr>
                <w:rFonts w:cstheme="minorHAnsi"/>
                <w:sz w:val="20"/>
                <w:szCs w:val="20"/>
              </w:rPr>
              <w:t>l’ente beneficiario ha titolo ad accertare le entrate, con imputazione ai medesimi esercizi cui sono stati registrati gli impegni.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no </w:t>
            </w:r>
          </w:p>
        </w:tc>
      </w:tr>
      <w:tr w:rsidR="00D919AD" w:rsidRPr="00D919AD"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Con riferimento alle diverse tipologie di entrata la scadenza del credito: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Nel caso di trasferimenti erogati “a rendicontazione” da soggetti che non adottano il medesimo principio della competenza finanziaria potenziata, l’ente beneficiario accerta l’entrata a seguito della formale deliberazione, da parte dell’ente erogante, di erogazione del contributo a proprio favore per la realizzazione di una determinata spesa. L’entrata è imputata agli esercizi in cui l’ente beneficiario stesso prevede di impegnare la spesa cui il trasferimento è destinato (sulla base del crono programma), in quanto il diritto di riscuotere il contributo (esigibilità) sorge a seguito della realizzazione della spesa, con riferimento alla quale la rendicontazione è resa.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no </w:t>
            </w:r>
          </w:p>
        </w:tc>
      </w:tr>
      <w:tr w:rsidR="00D919AD" w:rsidRPr="00D919AD"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Le entrate tributarie gestite attraverso ruoli ordinari e le liste di carico (Tari-Imposta pubblicità –Tosap) sono accertate e imputate contabilmente all’esercizio in cui sono emessi il ruolo, l’avviso di liquidazione e di accertamento, e le liste di carico, a condizione che la scadenza per la riscossione del tributo sia prevista entro i termini dell’approvazione del rendiconto (nei casi in cui la legge consente espressamente l’emissione di ruoli con scadenza nell’esercizio successivo). Modifica prevista dal decreto ministeriale 4 agosto 2016</w:t>
            </w:r>
          </w:p>
          <w:p w:rsidR="00D919AD" w:rsidRPr="00D919AD" w:rsidRDefault="00D919AD" w:rsidP="00FD647C">
            <w:pPr>
              <w:spacing w:after="0" w:line="240" w:lineRule="auto"/>
              <w:rPr>
                <w:rFonts w:cstheme="minorHAnsi"/>
                <w:sz w:val="20"/>
                <w:szCs w:val="20"/>
              </w:rPr>
            </w:pPr>
            <w:r w:rsidRPr="00D919AD">
              <w:rPr>
                <w:rFonts w:cstheme="minorHAnsi"/>
                <w:sz w:val="20"/>
                <w:szCs w:val="20"/>
              </w:rPr>
              <w:t xml:space="preserve">Esempio: Ruolo TARI, emesso ruolo di 120, a giugno anno n, che prevede 4 rate con scadenza 31/07/n - 31/10/n - 28/02/n+1 - 30/06/n+1: accertamento di 90 imputato all'esercizio n, accertamento di 30 da imputarsi all'esercizio n+1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no </w:t>
            </w:r>
          </w:p>
        </w:tc>
      </w:tr>
      <w:tr w:rsidR="00D919AD" w:rsidRPr="00D919AD"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Con riferimento alle diverse tipologie di entrata la scadenza del credito: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L’emissione di ruoli coattivi, in quanto relativi ad entrate già accertate, non comporta l’accertamento di nuove entrate.</w:t>
            </w:r>
          </w:p>
          <w:p w:rsidR="00D919AD" w:rsidRPr="00D919AD" w:rsidRDefault="00D919AD" w:rsidP="00FD647C">
            <w:pPr>
              <w:spacing w:after="0" w:line="240" w:lineRule="auto"/>
              <w:rPr>
                <w:rFonts w:cstheme="minorHAnsi"/>
                <w:sz w:val="20"/>
                <w:szCs w:val="20"/>
              </w:rPr>
            </w:pPr>
            <w:r w:rsidRPr="00D919AD">
              <w:rPr>
                <w:rFonts w:cstheme="minorHAnsi"/>
                <w:sz w:val="20"/>
                <w:szCs w:val="20"/>
              </w:rPr>
              <w:t>Le sanzioni e gli interessi correlati ai ruoli coattivi sono accertati per cassa. Sono accertati per cassa anche le sanzioni e gli interessi correlati ai ruoli coattivi riguardanti tipologie di entrate diverse dai tributi, esclusi i casi in cui è espressamente prevista una differente modalità di accertamento.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 </w:t>
            </w:r>
          </w:p>
        </w:tc>
      </w:tr>
      <w:tr w:rsidR="00D919AD" w:rsidRPr="00D919AD"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Le entrate tributarie riscosse attraverso il bilancio dello Stato o di altra amministrazione pubblica sono accertate nell’esercizio in cui è adottato l’atto amministrativo di impegno della corrispondente spesa nel bilancio dello Stato e dell’amministrazione pubblica che ha incassato direttamente il tributo.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p>
        </w:tc>
      </w:tr>
      <w:tr w:rsidR="00D919AD" w:rsidRPr="00D919AD"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lastRenderedPageBreak/>
              <w:t>Con riferimento alle diverse tipologie di entrata la scadenza del credito: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 xml:space="preserve">Le entrate tributarie riscosse per autoliquidazione dei contribuenti IMU -Addizionale comunale IRPEF - Imposta soggiorno sono accertate sulla base delle riscossioni effettuate entro la chiusura del rendiconto e, comunque, entro la scadenza prevista per l’approvazione del rendiconto. </w:t>
            </w:r>
          </w:p>
          <w:p w:rsidR="00D919AD" w:rsidRPr="00D919AD" w:rsidRDefault="00D919AD" w:rsidP="00FD647C">
            <w:pPr>
              <w:spacing w:after="0" w:line="240" w:lineRule="auto"/>
              <w:rPr>
                <w:rFonts w:cstheme="minorHAnsi"/>
                <w:sz w:val="20"/>
                <w:szCs w:val="20"/>
              </w:rPr>
            </w:pPr>
            <w:r w:rsidRPr="00D919AD">
              <w:rPr>
                <w:rFonts w:cstheme="minorHAnsi"/>
                <w:sz w:val="20"/>
                <w:szCs w:val="20"/>
              </w:rPr>
              <w:t xml:space="preserve">Gli enti locali possono accertare l’addizionale comunale Irpef per un importo pari a quello accertato nell’esercizio finanziario del secondo anno precedente quello di riferimento e comunque non superiore alla somma degli incassi dell’anno precedente in c/residui e del secondo anno precedente in c/competenza, riferiti all’anno di imposta (ad esempio, nel 2016 le entrate per l’addizionale comunale </w:t>
            </w:r>
            <w:proofErr w:type="spellStart"/>
            <w:r w:rsidRPr="00D919AD">
              <w:rPr>
                <w:rFonts w:cstheme="minorHAnsi"/>
                <w:sz w:val="20"/>
                <w:szCs w:val="20"/>
              </w:rPr>
              <w:t>irpef</w:t>
            </w:r>
            <w:proofErr w:type="spellEnd"/>
            <w:r w:rsidRPr="00D919AD">
              <w:rPr>
                <w:rFonts w:cstheme="minorHAnsi"/>
                <w:sz w:val="20"/>
                <w:szCs w:val="20"/>
              </w:rPr>
              <w:t xml:space="preserve">  sono accertate per un importo pari agli accertamenti del 2014 per addizionale </w:t>
            </w:r>
            <w:proofErr w:type="spellStart"/>
            <w:r w:rsidRPr="00D919AD">
              <w:rPr>
                <w:rFonts w:cstheme="minorHAnsi"/>
                <w:sz w:val="20"/>
                <w:szCs w:val="20"/>
              </w:rPr>
              <w:t>irpef</w:t>
            </w:r>
            <w:proofErr w:type="spellEnd"/>
            <w:r w:rsidRPr="00D919AD">
              <w:rPr>
                <w:rFonts w:cstheme="minorHAnsi"/>
                <w:sz w:val="20"/>
                <w:szCs w:val="20"/>
              </w:rPr>
              <w:t xml:space="preserve">, incassati in c/competenza nel 2014 e in c/residui nel 2015). In caso di modifica delle aliquote, l’importo da accertare nell’esercizio di riferimento in cui sono state introdotte le variazioni delle aliquote </w:t>
            </w:r>
            <w:proofErr w:type="gramStart"/>
            <w:r w:rsidRPr="00D919AD">
              <w:rPr>
                <w:rFonts w:cstheme="minorHAnsi"/>
                <w:sz w:val="20"/>
                <w:szCs w:val="20"/>
              </w:rPr>
              <w:t>e  in</w:t>
            </w:r>
            <w:proofErr w:type="gramEnd"/>
            <w:r w:rsidRPr="00D919AD">
              <w:rPr>
                <w:rFonts w:cstheme="minorHAnsi"/>
                <w:sz w:val="20"/>
                <w:szCs w:val="20"/>
              </w:rPr>
              <w:t xml:space="preserve"> quello successivo, è riproporzionato tenendo conto delle variazioni deliberate. In caso di modifica della fascia di esenzione, l’importo da accertare nell’esercizio di riferimento e in quello successivo, è stimato sulla base di una valutazione prudenziale. In caso di istituzione del tributo, per il primo anno, l’accertamento è effettuato sulla base di una stima prudenziale effettuata dall’ente mediante l’utilizzo del simulatore fiscale disponibile sul portale del federalismo fiscale. In ogni caso l’importo da accertare conseguente alle modifiche delle aliquote e della fascia di esenzione, o all’istituzione del tributo, non può essere superiore a quello risultante dall’utilizzo del simulatore fiscale disponibile sul portale del federalismo fiscale.</w:t>
            </w:r>
          </w:p>
          <w:p w:rsidR="00D919AD" w:rsidRPr="00D919AD" w:rsidRDefault="00D919AD" w:rsidP="00FD647C">
            <w:pPr>
              <w:spacing w:after="0" w:line="240" w:lineRule="auto"/>
              <w:rPr>
                <w:rFonts w:cstheme="minorHAnsi"/>
                <w:sz w:val="20"/>
                <w:szCs w:val="20"/>
              </w:rPr>
            </w:pPr>
            <w:r w:rsidRPr="00D919AD">
              <w:rPr>
                <w:rFonts w:cstheme="minorHAnsi"/>
                <w:sz w:val="20"/>
                <w:szCs w:val="20"/>
              </w:rPr>
              <w:t xml:space="preserve">Pertanto l’ente può scegliere di accertare l’addizionale </w:t>
            </w:r>
            <w:proofErr w:type="spellStart"/>
            <w:r w:rsidRPr="00D919AD">
              <w:rPr>
                <w:rFonts w:cstheme="minorHAnsi"/>
                <w:sz w:val="20"/>
                <w:szCs w:val="20"/>
              </w:rPr>
              <w:t>irpef</w:t>
            </w:r>
            <w:proofErr w:type="spellEnd"/>
            <w:r w:rsidRPr="00D919AD">
              <w:rPr>
                <w:rFonts w:cstheme="minorHAnsi"/>
                <w:sz w:val="20"/>
                <w:szCs w:val="20"/>
              </w:rPr>
              <w:t xml:space="preserve"> per cassa o sulla base della stima effettuata dal dipartimento delle politiche fiscali.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p>
        </w:tc>
      </w:tr>
      <w:tr w:rsidR="00D919AD" w:rsidRPr="00D919AD"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Con riferimento alle diverse tipologie di entrata la scadenza del credito: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Le entrate derivanti dalla gestione dei servizi pubblici sono accertate sulla base dell’idonea documentazione che predispone l’ente creditore ed imputate all’esercizio in cui servizio è reso all’utenza. Tale principio si applica anche nel caso in cui la gestione del servizio sia affidata a terzi.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 </w:t>
            </w:r>
          </w:p>
        </w:tc>
      </w:tr>
      <w:tr w:rsidR="00D919AD" w:rsidRPr="00D919AD"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Le entrate derivanti da interessi attivi sono accertate imputandole all’esercizio in l’obbligazione giuridica attiva risulta esigibile. Con riferimento agli interessi bancari esigibili alla data del 31 dicembre e comunicati nei primi mesi dell’anno successivo, è possibile accertare l’entrata nell’anno successivo, imputandola all’esercizio precedente, sulla base della comunicazione della banca o dell’incasso verificatosi prima dell’approvazione del rendiconto. Le entrate per interessi di mora (ad esempio per ritardato pagamento canoni affitto) sono accertate al momento dell’incasso.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p>
        </w:tc>
      </w:tr>
      <w:tr w:rsidR="00D919AD" w:rsidRPr="00D919AD"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 xml:space="preserve">Le entrate derivanti dalla gestione dei beni iscritti tra le immobilizzazioni del conto del patrimonio, quali locazioni e concessioni, sono accertate sulla base dell’idonea documentazione predisposta dall’ente creditore ed imputate all’esercizio in cui l’entrata è esigibile. Le entrate derivanti da concessioni pluriennali, che non garantiscono accertamenti costanti negli esercizi e costituiscono entrate straordinarie non ricorrenti, sono considerate destinate al finanziamento di interventi di investimento.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p>
        </w:tc>
      </w:tr>
      <w:tr w:rsidR="00D919AD" w:rsidRPr="00D919AD"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Con riferimento alle diverse tipologie di entrata la scadenza del credito: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 xml:space="preserve">L’obbligazione per i permessi di costruire è articolata in due quote. La prima (oneri di urbanizzazione) è immediatamente esigibile, ed è collegata al rilascio del permesso al soggetto richiedente, salva la possibilità di rateizzazione (eventualmente garantita da fidejussione), la seconda (costo di costruzione) è esigibile nel corso dell’opera </w:t>
            </w:r>
            <w:proofErr w:type="gramStart"/>
            <w:r w:rsidRPr="00D919AD">
              <w:rPr>
                <w:rFonts w:cstheme="minorHAnsi"/>
                <w:sz w:val="20"/>
                <w:szCs w:val="20"/>
              </w:rPr>
              <w:t>ed</w:t>
            </w:r>
            <w:proofErr w:type="gramEnd"/>
            <w:r w:rsidRPr="00D919AD">
              <w:rPr>
                <w:rFonts w:cstheme="minorHAnsi"/>
                <w:sz w:val="20"/>
                <w:szCs w:val="20"/>
              </w:rPr>
              <w:t xml:space="preserve">, in ogni caso, entro 60 giorni dalla conclusione dell’opera. Pertanto, la prima quota è accertata e imputata nell’esercizio in cui avviene il rilascio del permesso, la seconda è accertata a seguito della comunicazione di avvio lavori e imputata all’esercizio in cui, in ragione delle modalità stabilite dall’ente, viene a scadenza la relativa quota.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no</w:t>
            </w:r>
          </w:p>
        </w:tc>
      </w:tr>
      <w:tr w:rsidR="00D919AD" w:rsidRPr="00D919AD"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 xml:space="preserve">Le entrate concernenti i permessi di costruire destinati al finanziamento delle opere a scomputo di cui al comma 2 dell’art. 16 del DPR. 380/2001, sono accertate nell’esercizio in cui avviene il rilascio del permesso e imputate all’esercizio in cui la convenzione e gli accordi prevedono la consegna e il </w:t>
            </w:r>
            <w:r w:rsidRPr="00D919AD">
              <w:rPr>
                <w:rFonts w:cstheme="minorHAnsi"/>
                <w:sz w:val="20"/>
                <w:szCs w:val="20"/>
              </w:rPr>
              <w:lastRenderedPageBreak/>
              <w:t xml:space="preserve">collaudo delle opere. Anche la spesa per le opere a scomputo è registrata nell’esercizio in cui nasce l’obbligazione giuridica, ovvero nell’esercizio del rilascio del permesso e in cui sono formalizzati gli accordi e/o convenzioni che prevedono la realizzazione delle opere, con imputazione all’esercizio in cui le convenzioni e gli accordi prevedono la consegna del bene. </w:t>
            </w:r>
          </w:p>
          <w:p w:rsidR="00D919AD" w:rsidRPr="00D919AD" w:rsidRDefault="00D919AD" w:rsidP="00FD647C">
            <w:pPr>
              <w:spacing w:after="0" w:line="240" w:lineRule="auto"/>
              <w:rPr>
                <w:rFonts w:cstheme="minorHAnsi"/>
                <w:sz w:val="20"/>
                <w:szCs w:val="20"/>
              </w:rPr>
            </w:pPr>
            <w:r w:rsidRPr="00D919AD">
              <w:rPr>
                <w:rFonts w:cstheme="minorHAnsi"/>
                <w:sz w:val="20"/>
                <w:szCs w:val="20"/>
              </w:rPr>
              <w:t>A seguito della consegna e del collaudo, si emette il titolo di spesa, versato in quietanza di entrata del bilancio dell’ente stesso, all’entrata per permessi da costruire (trattasi di una regolazione contabile).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lastRenderedPageBreak/>
              <w:t>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no</w:t>
            </w:r>
          </w:p>
        </w:tc>
      </w:tr>
      <w:tr w:rsidR="00D919AD" w:rsidRPr="00D919AD"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Con riferimento alle diverse tipologie di entrata la scadenza del credito: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 xml:space="preserve">Nella cessione di beni immobili, l’obbligazione giuridica attiva nasce al momento del rogito (e non al momento dell’aggiudicazione definitiva della gara). In tale momento, l’entrata deve essere accertata con imputazione all’esercizio previsto nel contratto per l’esecuzione dell’obbligazione pecuniaria. </w:t>
            </w:r>
          </w:p>
          <w:p w:rsidR="00D919AD" w:rsidRPr="00D919AD" w:rsidRDefault="00D919AD" w:rsidP="00FD647C">
            <w:pPr>
              <w:spacing w:after="0" w:line="240" w:lineRule="auto"/>
              <w:rPr>
                <w:rFonts w:cstheme="minorHAnsi"/>
                <w:sz w:val="20"/>
                <w:szCs w:val="20"/>
              </w:rPr>
            </w:pPr>
            <w:r w:rsidRPr="00D919AD">
              <w:rPr>
                <w:rFonts w:cstheme="minorHAnsi"/>
                <w:sz w:val="20"/>
                <w:szCs w:val="20"/>
              </w:rPr>
              <w:t>L’accertamento è registrato anticipatamente nel caso in cui l’entrata sia incassata prima del rogito, salve le garanzie di legge. Nel caso in cui il contratto di compravendita preveda il pagamento differito, è consentito l’accertamento delle entrate con imputazione nel primo esercizio se il pagamento non è stabilito oltre i 12 mesi dell’anno successivo.</w:t>
            </w:r>
          </w:p>
          <w:p w:rsidR="00D919AD" w:rsidRPr="00D919AD" w:rsidRDefault="00D919AD" w:rsidP="00FD647C">
            <w:pPr>
              <w:spacing w:after="0" w:line="240" w:lineRule="auto"/>
              <w:rPr>
                <w:rFonts w:cstheme="minorHAnsi"/>
                <w:sz w:val="20"/>
                <w:szCs w:val="20"/>
              </w:rPr>
            </w:pPr>
            <w:r w:rsidRPr="00D919AD">
              <w:rPr>
                <w:rFonts w:cstheme="minorHAnsi"/>
                <w:sz w:val="20"/>
                <w:szCs w:val="20"/>
              </w:rPr>
              <w:t>L’importo dell’obbligazione attiva è registrato senza distinguere il plusvalore, in quanto tale fenomeno non è rilevabile dalla contabilità finanziaria.</w:t>
            </w:r>
          </w:p>
          <w:p w:rsidR="00D919AD" w:rsidRPr="00D919AD" w:rsidRDefault="00D919AD" w:rsidP="00FD647C">
            <w:pPr>
              <w:spacing w:after="0" w:line="240" w:lineRule="auto"/>
              <w:rPr>
                <w:rFonts w:cstheme="minorHAnsi"/>
                <w:sz w:val="20"/>
                <w:szCs w:val="20"/>
              </w:rPr>
            </w:pPr>
            <w:r w:rsidRPr="00D919AD">
              <w:rPr>
                <w:rFonts w:cstheme="minorHAnsi"/>
                <w:sz w:val="20"/>
                <w:szCs w:val="20"/>
              </w:rPr>
              <w:t>Il corrispettivo della cessione è interamente destinato alla spesa di investimento al netto del debito IVA. Tale principio è diretto a garantire la copertura finanziaria dell’eventuale posizione debitoria al termine previsto per la liquidazione periodica dell’IVA e consente, ai fini degli equilibri di bilancio, di destinare l’entrata iscritta tra le entrate in c/capitale a copertura delle spese correnti per il pagamento dell’IVA. In ogni caso risulta possibile destinare l’entrata in conto capitale corrispondente al debito IVA a copertura della spesa determinata dall’IVA dovuta per spese di investimento (credito IVA). Si rinvia ai principi contabili applicati concernenti la contabilizzazione dell’IVA.</w:t>
            </w:r>
          </w:p>
          <w:p w:rsidR="00D919AD" w:rsidRPr="00D919AD" w:rsidRDefault="00D919AD" w:rsidP="00FD647C">
            <w:pPr>
              <w:spacing w:after="0" w:line="240" w:lineRule="auto"/>
              <w:rPr>
                <w:rFonts w:cstheme="minorHAnsi"/>
                <w:sz w:val="20"/>
                <w:szCs w:val="20"/>
              </w:rPr>
            </w:pPr>
            <w:r w:rsidRPr="00D919AD">
              <w:rPr>
                <w:rFonts w:cstheme="minorHAnsi"/>
                <w:sz w:val="20"/>
                <w:szCs w:val="20"/>
              </w:rPr>
              <w:t>Il corrispettivo della cessione di beni immobili può essere destinato anche all’estinzione anticipata di prestiti (rinvio ai principi concernenti l’estinzione anticipata di prestiti).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no</w:t>
            </w:r>
          </w:p>
        </w:tc>
      </w:tr>
      <w:tr w:rsidR="00D919AD" w:rsidRPr="00D919AD"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Con riferimento alle diverse tipologie di entrata la scadenza del credito: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 xml:space="preserve">Sono registrate tra le accensioni di prestiti anche le anticipazioni di liquidità diverse da quelle di cui al paragrafo 3.26.  Le anticipazioni di liquidità sono definite dall’articolo 3, comma 17, della legge n. 350/2003, come “operazioni che non comportano risorse aggiuntive, ma consentono di superare, entro il limite massimo stabilito dalla normativa statale vigente, una momentanea carenza di liquidità e di effettuare spese per le quali è già prevista idonea copertura di bilancio”. Le anticipazioni di liquidità non costituiscono indebitamento agli effetti dell’art. 119 della Costituzione e di norma si estinguono entro un anno.  </w:t>
            </w:r>
          </w:p>
          <w:p w:rsidR="00D919AD" w:rsidRPr="00D919AD" w:rsidRDefault="00D919AD" w:rsidP="00FD647C">
            <w:pPr>
              <w:spacing w:after="0" w:line="240" w:lineRule="auto"/>
              <w:rPr>
                <w:rFonts w:cstheme="minorHAnsi"/>
                <w:sz w:val="20"/>
                <w:szCs w:val="20"/>
              </w:rPr>
            </w:pPr>
            <w:r w:rsidRPr="00D919AD">
              <w:rPr>
                <w:rFonts w:cstheme="minorHAnsi"/>
                <w:sz w:val="20"/>
                <w:szCs w:val="20"/>
              </w:rPr>
              <w:t xml:space="preserve">Per le anticipazioni che devono essere chiuse entro l’anno, la natura di “anticipazione di liquidità che non comporta risorse aggiuntive” è rappresentata contabilmente dall’imputazione al medesimo esercizio dell’accertamento dell’entrata derivante dall’anticipazione e dell’impegno di spesa concernente il rimborso.  </w:t>
            </w:r>
          </w:p>
          <w:p w:rsidR="00D919AD" w:rsidRPr="00D919AD" w:rsidRDefault="00D919AD" w:rsidP="00FD647C">
            <w:pPr>
              <w:spacing w:after="0" w:line="240" w:lineRule="auto"/>
              <w:rPr>
                <w:rFonts w:cstheme="minorHAnsi"/>
                <w:sz w:val="20"/>
                <w:szCs w:val="20"/>
              </w:rPr>
            </w:pPr>
            <w:r w:rsidRPr="00D919AD">
              <w:rPr>
                <w:rFonts w:cstheme="minorHAnsi"/>
                <w:sz w:val="20"/>
                <w:szCs w:val="20"/>
              </w:rPr>
              <w:t>Per le anticipazioni di liquidità che non devono essere chiuse entro l’anno (a rimborso pluriennale), l’evidenza contabile della natura di “anticipazione di liquidità che non comporta risorse aggiuntive” è costituita dall’iscrizione di un fondo anticipazione di liquidità nel titolo 4 della spesa, di importo pari alle anticipazioni di liquidità incassate nell'esercizio e non restituite, non impegnabile e pagabile, destinato a confluire nel risultato di amministrazione, come quota accantonata.</w:t>
            </w:r>
          </w:p>
          <w:p w:rsidR="00D919AD" w:rsidRPr="00D919AD" w:rsidRDefault="00D919AD" w:rsidP="00FD647C">
            <w:pPr>
              <w:spacing w:after="0" w:line="240" w:lineRule="auto"/>
              <w:rPr>
                <w:rFonts w:cstheme="minorHAnsi"/>
                <w:sz w:val="20"/>
                <w:szCs w:val="20"/>
              </w:rPr>
            </w:pPr>
            <w:r w:rsidRPr="00D919AD">
              <w:rPr>
                <w:rFonts w:cstheme="minorHAnsi"/>
                <w:sz w:val="20"/>
                <w:szCs w:val="20"/>
              </w:rPr>
              <w:t>Il meccanismo di creazione del fondo con corrispondente accantonamento in ogni caso costituisce strumento di sterilizzazione degli effetti espansivi della spesa e non deve costituire forma surrettizia di copertura di spese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no</w:t>
            </w:r>
          </w:p>
        </w:tc>
      </w:tr>
      <w:tr w:rsidR="00FD647C" w:rsidRPr="00D919AD"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tcPr>
          <w:p w:rsidR="00FD647C" w:rsidRPr="00FD647C" w:rsidRDefault="00FD647C" w:rsidP="00FD647C">
            <w:pPr>
              <w:spacing w:after="0" w:line="240" w:lineRule="auto"/>
              <w:rPr>
                <w:rFonts w:cstheme="minorHAnsi"/>
                <w:b/>
                <w:bCs/>
                <w:sz w:val="20"/>
                <w:szCs w:val="20"/>
              </w:rPr>
            </w:pPr>
            <w:r w:rsidRPr="00FD647C">
              <w:rPr>
                <w:rFonts w:cstheme="minorHAnsi"/>
                <w:b/>
                <w:bCs/>
                <w:sz w:val="20"/>
                <w:szCs w:val="20"/>
              </w:rPr>
              <w:t>FASE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tcPr>
          <w:p w:rsidR="00FD647C" w:rsidRPr="00FD647C" w:rsidRDefault="00FD647C" w:rsidP="00FD647C">
            <w:pPr>
              <w:spacing w:after="0" w:line="240" w:lineRule="auto"/>
              <w:rPr>
                <w:rFonts w:cstheme="minorHAnsi"/>
                <w:b/>
                <w:bCs/>
                <w:sz w:val="20"/>
                <w:szCs w:val="20"/>
              </w:rPr>
            </w:pPr>
            <w:r w:rsidRPr="00FD647C">
              <w:rPr>
                <w:rFonts w:cstheme="minorHAnsi"/>
                <w:b/>
                <w:bCs/>
                <w:sz w:val="20"/>
                <w:szCs w:val="20"/>
              </w:rPr>
              <w:t>RISCOSSIONE</w:t>
            </w:r>
            <w:r>
              <w:rPr>
                <w:rFonts w:cstheme="minorHAnsi"/>
                <w:b/>
                <w:bCs/>
                <w:sz w:val="20"/>
                <w:szCs w:val="20"/>
              </w:rPr>
              <w:t xml:space="preserve"> / VERSAMENTO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tcPr>
          <w:p w:rsidR="00FD647C" w:rsidRPr="00D919AD" w:rsidRDefault="00FD647C" w:rsidP="00FD647C">
            <w:pPr>
              <w:spacing w:after="0" w:line="240" w:lineRule="auto"/>
              <w:rPr>
                <w:rFonts w:cstheme="minorHAnsi"/>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tcPr>
          <w:p w:rsidR="00FD647C" w:rsidRPr="00D919AD" w:rsidRDefault="00FD647C" w:rsidP="00FD647C">
            <w:pPr>
              <w:spacing w:after="0" w:line="240" w:lineRule="auto"/>
              <w:rPr>
                <w:rFonts w:cstheme="minorHAnsi"/>
                <w:sz w:val="20"/>
                <w:szCs w:val="20"/>
              </w:rPr>
            </w:pPr>
          </w:p>
        </w:tc>
      </w:tr>
      <w:tr w:rsidR="00D919AD" w:rsidRPr="00D919AD"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introito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L’entrata è riscossa a seguito del materiale introito delle somme corrisposte dai debitori agli incaricati ad esigere, interni o esterni.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 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no</w:t>
            </w:r>
          </w:p>
        </w:tc>
      </w:tr>
      <w:tr w:rsidR="00D919AD" w:rsidRPr="00D919AD"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lastRenderedPageBreak/>
              <w:t>ordinativi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Per tutte le entrate riscosse dal tesoriere/cassiere, il servizio economico finanziario emette i relativi ordinativi d’incasso da registrarsi in contabilità entro 60 giorni dall’incasso, attribuendoli all’esercizio in cui l’incasso è stato effettuato (anche nel caso di esercizio provvisorio del bilancio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 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no</w:t>
            </w:r>
          </w:p>
        </w:tc>
      </w:tr>
      <w:tr w:rsidR="00D919AD" w:rsidRPr="00D919AD"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elementi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 xml:space="preserve">La reversale di incasso deve contenere tutti gli elementi informativi previsti dall’ordinamento e, in particolare, riportare i codici identificativi della transazione elementare.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 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no</w:t>
            </w:r>
          </w:p>
        </w:tc>
      </w:tr>
      <w:tr w:rsidR="00D919AD" w:rsidRPr="00D919AD"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divieto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Nel rispetto dell’articolo 7, comma 1, lettera b), del decreto legislativo 23 giugno 2011 n. 118, è vietata la temporanea contabilizzazione degli incassi tra le partite di giro/servizi per conto terzi.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 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no</w:t>
            </w:r>
          </w:p>
        </w:tc>
      </w:tr>
      <w:tr w:rsidR="00D919AD" w:rsidRPr="00D919AD"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obbligo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In nessun caso il tesoriere dell’ente può rifiutare la riscossione di entrate.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 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no</w:t>
            </w:r>
          </w:p>
        </w:tc>
      </w:tr>
      <w:tr w:rsidR="00D919AD" w:rsidRPr="00D919AD"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regolarizzazioni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Nel caso di riscossioni senza ordinativi d’incasso, il tesoriere deve darne immediata comunicazione al servizio finanziario e richiedere l’emissione dell’ordinativo d’incasso.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 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no</w:t>
            </w:r>
          </w:p>
        </w:tc>
      </w:tr>
      <w:tr w:rsidR="00D919AD" w:rsidRPr="00D919AD"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competenza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I titoli di incasso che regolarizzano incassi effettuati dal tesoriere nell’esercizio precedente, sono imputati contabilmente alla competenza finanziaria dell’esercizio precedente, anche se emessi nell’esercizio successivo.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 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no</w:t>
            </w:r>
          </w:p>
        </w:tc>
      </w:tr>
      <w:tr w:rsidR="00D919AD" w:rsidRPr="00D919AD"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quadratura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 xml:space="preserve">Se l’imputazione degli incassi e dei pagamenti all’esercizio è stata effettuata correttamente, alla chiusura dell’esercizio finanziario, conclusa l’attività di regolarizzazione dei sospesi ed annullati i titoli ineseguiti, il fondo di cassa risultante dalle scritture dell’ente (cd. fondo contabile o di diritto) coincide con il fondo di cassa risultante dalle scritture della banca (cd. fondo di cassa di fatto) senza che sia necessario procedere ad alcuna riconciliazione.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 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no</w:t>
            </w:r>
          </w:p>
        </w:tc>
      </w:tr>
      <w:tr w:rsidR="00FD647C" w:rsidRPr="00D919AD"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tcPr>
          <w:p w:rsidR="00FD647C" w:rsidRPr="00FD647C" w:rsidRDefault="00FD647C" w:rsidP="00FD647C">
            <w:pPr>
              <w:spacing w:after="0" w:line="240" w:lineRule="auto"/>
              <w:rPr>
                <w:rFonts w:cstheme="minorHAnsi"/>
                <w:b/>
                <w:bCs/>
                <w:sz w:val="20"/>
                <w:szCs w:val="20"/>
              </w:rPr>
            </w:pPr>
            <w:r w:rsidRPr="00FD647C">
              <w:rPr>
                <w:rFonts w:cstheme="minorHAnsi"/>
                <w:b/>
                <w:bCs/>
                <w:sz w:val="20"/>
                <w:szCs w:val="20"/>
              </w:rPr>
              <w:t>FASE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tcPr>
          <w:p w:rsidR="00FD647C" w:rsidRPr="00FD647C" w:rsidRDefault="00FD647C" w:rsidP="00FD647C">
            <w:pPr>
              <w:spacing w:after="0" w:line="240" w:lineRule="auto"/>
              <w:rPr>
                <w:rFonts w:cstheme="minorHAnsi"/>
                <w:b/>
                <w:bCs/>
                <w:sz w:val="20"/>
                <w:szCs w:val="20"/>
              </w:rPr>
            </w:pPr>
            <w:r w:rsidRPr="00FD647C">
              <w:rPr>
                <w:rFonts w:cstheme="minorHAnsi"/>
                <w:b/>
                <w:bCs/>
                <w:sz w:val="20"/>
                <w:szCs w:val="20"/>
              </w:rPr>
              <w:t>IMPEGNO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tcPr>
          <w:p w:rsidR="00FD647C" w:rsidRPr="00D919AD" w:rsidRDefault="00FD647C" w:rsidP="00FD647C">
            <w:pPr>
              <w:spacing w:after="0" w:line="240" w:lineRule="auto"/>
              <w:rPr>
                <w:rFonts w:cstheme="minorHAnsi"/>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tcPr>
          <w:p w:rsidR="00FD647C" w:rsidRPr="00D919AD" w:rsidRDefault="00FD647C" w:rsidP="00FD647C">
            <w:pPr>
              <w:spacing w:after="0" w:line="240" w:lineRule="auto"/>
              <w:rPr>
                <w:rFonts w:cstheme="minorHAnsi"/>
                <w:sz w:val="20"/>
                <w:szCs w:val="20"/>
              </w:rPr>
            </w:pPr>
          </w:p>
        </w:tc>
      </w:tr>
      <w:tr w:rsidR="00D919AD" w:rsidRPr="00D919AD"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Copertura finanziaria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Ogni procedimento amministrativo che comporta spesa deve trovare, fin dall’avvio, la relativa attestazione di copertura finanziaria ed essere prenotato nelle scritture contabili dell’esercizio individuato nel provvedimento che ha originato il procedimento di spesa.</w:t>
            </w:r>
          </w:p>
          <w:p w:rsidR="00D919AD" w:rsidRPr="00D919AD" w:rsidRDefault="00D919AD" w:rsidP="00FD647C">
            <w:pPr>
              <w:spacing w:after="0" w:line="240" w:lineRule="auto"/>
              <w:rPr>
                <w:rFonts w:cstheme="minorHAnsi"/>
                <w:sz w:val="20"/>
                <w:szCs w:val="20"/>
              </w:rPr>
            </w:pPr>
            <w:r w:rsidRPr="00D919AD">
              <w:rPr>
                <w:rFonts w:cstheme="minorHAnsi"/>
                <w:sz w:val="20"/>
                <w:szCs w:val="20"/>
              </w:rPr>
              <w:t>Alla fine dell’esercizio, le prenotazioni alle quali non hanno fatto seguito obbligazioni giuridicamente perfezionate e scadute sono cancellate quali economie di bilancio.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 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no</w:t>
            </w:r>
          </w:p>
        </w:tc>
      </w:tr>
      <w:tr w:rsidR="00D919AD" w:rsidRPr="00D919AD"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 xml:space="preserve">elementi costitutivi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Gli elementi costitutivi dell’impegno sono:</w:t>
            </w:r>
          </w:p>
          <w:p w:rsidR="00D919AD" w:rsidRPr="00FD647C" w:rsidRDefault="00D919AD" w:rsidP="00FD647C">
            <w:pPr>
              <w:pStyle w:val="Paragrafoelenco"/>
              <w:numPr>
                <w:ilvl w:val="0"/>
                <w:numId w:val="9"/>
              </w:numPr>
              <w:spacing w:after="0" w:line="240" w:lineRule="auto"/>
              <w:rPr>
                <w:rFonts w:cstheme="minorHAnsi"/>
                <w:sz w:val="20"/>
                <w:szCs w:val="20"/>
              </w:rPr>
            </w:pPr>
            <w:r w:rsidRPr="00FD647C">
              <w:rPr>
                <w:rFonts w:cstheme="minorHAnsi"/>
                <w:sz w:val="20"/>
                <w:szCs w:val="20"/>
              </w:rPr>
              <w:t>la ragione del debito;</w:t>
            </w:r>
          </w:p>
          <w:p w:rsidR="00D919AD" w:rsidRPr="00FD647C" w:rsidRDefault="00D919AD" w:rsidP="00FD647C">
            <w:pPr>
              <w:pStyle w:val="Paragrafoelenco"/>
              <w:numPr>
                <w:ilvl w:val="0"/>
                <w:numId w:val="9"/>
              </w:numPr>
              <w:spacing w:after="0" w:line="240" w:lineRule="auto"/>
              <w:rPr>
                <w:rFonts w:cstheme="minorHAnsi"/>
                <w:sz w:val="20"/>
                <w:szCs w:val="20"/>
              </w:rPr>
            </w:pPr>
            <w:r w:rsidRPr="00FD647C">
              <w:rPr>
                <w:rFonts w:cstheme="minorHAnsi"/>
                <w:sz w:val="20"/>
                <w:szCs w:val="20"/>
              </w:rPr>
              <w:t>l’indicazione della somma da pagare;</w:t>
            </w:r>
          </w:p>
          <w:p w:rsidR="00D919AD" w:rsidRPr="00FD647C" w:rsidRDefault="00D919AD" w:rsidP="00FD647C">
            <w:pPr>
              <w:pStyle w:val="Paragrafoelenco"/>
              <w:numPr>
                <w:ilvl w:val="0"/>
                <w:numId w:val="9"/>
              </w:numPr>
              <w:spacing w:after="0" w:line="240" w:lineRule="auto"/>
              <w:rPr>
                <w:rFonts w:cstheme="minorHAnsi"/>
                <w:sz w:val="20"/>
                <w:szCs w:val="20"/>
              </w:rPr>
            </w:pPr>
            <w:r w:rsidRPr="00FD647C">
              <w:rPr>
                <w:rFonts w:cstheme="minorHAnsi"/>
                <w:sz w:val="20"/>
                <w:szCs w:val="20"/>
              </w:rPr>
              <w:t>il soggetto creditore;</w:t>
            </w:r>
          </w:p>
          <w:p w:rsidR="00D919AD" w:rsidRPr="00FD647C" w:rsidRDefault="00D919AD" w:rsidP="00FD647C">
            <w:pPr>
              <w:pStyle w:val="Paragrafoelenco"/>
              <w:numPr>
                <w:ilvl w:val="0"/>
                <w:numId w:val="9"/>
              </w:numPr>
              <w:spacing w:after="0" w:line="240" w:lineRule="auto"/>
              <w:rPr>
                <w:rFonts w:cstheme="minorHAnsi"/>
                <w:sz w:val="20"/>
                <w:szCs w:val="20"/>
              </w:rPr>
            </w:pPr>
            <w:r w:rsidRPr="00FD647C">
              <w:rPr>
                <w:rFonts w:cstheme="minorHAnsi"/>
                <w:sz w:val="20"/>
                <w:szCs w:val="20"/>
              </w:rPr>
              <w:t>la scadenza dell’obbligazione;</w:t>
            </w:r>
          </w:p>
          <w:p w:rsidR="00D919AD" w:rsidRPr="00FD647C" w:rsidRDefault="00D919AD" w:rsidP="00FD647C">
            <w:pPr>
              <w:pStyle w:val="Paragrafoelenco"/>
              <w:numPr>
                <w:ilvl w:val="0"/>
                <w:numId w:val="9"/>
              </w:numPr>
              <w:spacing w:after="0" w:line="240" w:lineRule="auto"/>
              <w:rPr>
                <w:rFonts w:cstheme="minorHAnsi"/>
                <w:sz w:val="20"/>
                <w:szCs w:val="20"/>
              </w:rPr>
            </w:pPr>
            <w:r w:rsidRPr="00FD647C">
              <w:rPr>
                <w:rFonts w:cstheme="minorHAnsi"/>
                <w:sz w:val="20"/>
                <w:szCs w:val="20"/>
              </w:rPr>
              <w:t>la specificazione del vincolo costituito sullo stanziamento di bilancio.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 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no</w:t>
            </w:r>
          </w:p>
        </w:tc>
      </w:tr>
      <w:tr w:rsidR="00D919AD" w:rsidRPr="00D919AD"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perfezionamento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L’impegno si perfeziona mediante l’atto gestionale, che verifica ed attesta gli elementi anzidetti e la copertura finanziaria, e con il quale si dà atto, altresì, degli effetti di spesa in relazione a ciascun esercizio finanziario contemplato dal bilancio di previsione. Pur se il provvedimento di impegno deve annotare l’intero importo della spesa, la registrazione dell’impegno che ne consegue, a valere sulla competenza avviene nel momento in cui l’impegno è giuridicamente perfezionato, con imputazione agli esercizi finanziari in cui le singole obbligazioni passive risultano esigibili.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 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no</w:t>
            </w:r>
          </w:p>
        </w:tc>
      </w:tr>
      <w:tr w:rsidR="00D919AD" w:rsidRPr="00D919AD"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Divieto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Non possono essere riferite ad un determinato esercizio finanziario le spese per le quali non sia venuta a scadere, nello stesso esercizio finanziario, la relativa obbligazione giuridica.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 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no</w:t>
            </w:r>
          </w:p>
        </w:tc>
      </w:tr>
      <w:tr w:rsidR="00D919AD" w:rsidRPr="00D919AD"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Limite</w:t>
            </w:r>
          </w:p>
          <w:p w:rsidR="00D919AD" w:rsidRPr="00D919AD" w:rsidRDefault="00D919AD" w:rsidP="00FD647C">
            <w:pPr>
              <w:spacing w:after="0" w:line="240" w:lineRule="auto"/>
              <w:rPr>
                <w:rFonts w:cstheme="minorHAnsi"/>
                <w:sz w:val="20"/>
                <w:szCs w:val="20"/>
              </w:rPr>
            </w:pPr>
            <w:r w:rsidRPr="00D919AD">
              <w:rPr>
                <w:rFonts w:cstheme="minorHAnsi"/>
                <w:sz w:val="20"/>
                <w:szCs w:val="20"/>
              </w:rPr>
              <w:t>temporale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 xml:space="preserve">Non possono essere assunte obbligazioni concernenti spese correnti per esercizi non considerati nel bilancio di previsione a meno delle spese derivanti da contratti di </w:t>
            </w:r>
            <w:proofErr w:type="gramStart"/>
            <w:r w:rsidRPr="00D919AD">
              <w:rPr>
                <w:rFonts w:cstheme="minorHAnsi"/>
                <w:sz w:val="20"/>
                <w:szCs w:val="20"/>
              </w:rPr>
              <w:t>somministrazione ,</w:t>
            </w:r>
            <w:proofErr w:type="gramEnd"/>
            <w:r w:rsidRPr="00D919AD">
              <w:rPr>
                <w:rFonts w:cstheme="minorHAnsi"/>
                <w:sz w:val="20"/>
                <w:szCs w:val="20"/>
              </w:rPr>
              <w:t xml:space="preserve"> di locazione, di leasing operativo,  relative a prestazioni periodiche o continuative di servizi di cui all’art. 1677 c.c., delle spese correnti correlate a finanziamenti comunitari e delle rate di ammortamento.”</w:t>
            </w:r>
          </w:p>
          <w:p w:rsidR="00D919AD" w:rsidRPr="00D919AD" w:rsidRDefault="00D919AD" w:rsidP="00FD647C">
            <w:pPr>
              <w:spacing w:after="0" w:line="240" w:lineRule="auto"/>
              <w:rPr>
                <w:rFonts w:cstheme="minorHAnsi"/>
                <w:sz w:val="20"/>
                <w:szCs w:val="20"/>
              </w:rPr>
            </w:pPr>
            <w:r w:rsidRPr="00D919AD">
              <w:rPr>
                <w:rFonts w:cstheme="minorHAnsi"/>
                <w:sz w:val="20"/>
                <w:szCs w:val="20"/>
              </w:rPr>
              <w:t xml:space="preserve">Nei casi in cui è consentita l’assunzione di spese correnti di competenza di esercizi non considerati nel bilancio di previsione, l’elenco dei relativi </w:t>
            </w:r>
            <w:r w:rsidRPr="00D919AD">
              <w:rPr>
                <w:rFonts w:cstheme="minorHAnsi"/>
                <w:sz w:val="20"/>
                <w:szCs w:val="20"/>
              </w:rPr>
              <w:lastRenderedPageBreak/>
              <w:t>provvedimenti di spesa assunti nell’esercizio è trasmesso, per conoscenza, al Consiglio dell’ente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lastRenderedPageBreak/>
              <w:t> 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no</w:t>
            </w:r>
          </w:p>
        </w:tc>
      </w:tr>
      <w:tr w:rsidR="00D919AD" w:rsidRPr="00D919AD"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l’imputazione dell’impegno per la spesa del personale avviene: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 xml:space="preserve">nell’esercizio di riferimento, automaticamente all’inizio dell’esercizio, per l’intero importo risultante dai trattamenti fissi e continuativi, comunque denominati, in quanto caratterizzati da una dinamica salariale predefinita dalla legge e/o dalla contrattazione collettiva nazionale, anche se trattasi di personale comandato, avvalso o comunque utilizzato da altra amministrazione pubblica, ancorché direttamente pagato da quest’ultima. In questi casi sarà rilevato in entrata il relativo rimborso nelle entrate di </w:t>
            </w:r>
            <w:proofErr w:type="spellStart"/>
            <w:proofErr w:type="gramStart"/>
            <w:r w:rsidRPr="00D919AD">
              <w:rPr>
                <w:rFonts w:cstheme="minorHAnsi"/>
                <w:sz w:val="20"/>
                <w:szCs w:val="20"/>
              </w:rPr>
              <w:t>bilancio;ì</w:t>
            </w:r>
            <w:proofErr w:type="spellEnd"/>
            <w:proofErr w:type="gram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 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no</w:t>
            </w:r>
          </w:p>
        </w:tc>
      </w:tr>
      <w:tr w:rsidR="00D919AD" w:rsidRPr="00D919AD"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 xml:space="preserve">nell’esercizio in cui è firmato il contratto collettivo nazionale per le obbligazioni derivanti da rinnovi contrattuali del personale dipendente, compresi i relativi oneri riflessi a carico dell’ente e quelli derivanti dagli eventuali effetti retroattivi del nuovo contratto, a meno che gli stessi contratti non prevedano il differimento degli effetti economici. Nelle more della firma del contratto si auspica che l’ente accantoni annualmente le necessarie risorse concernenti gli oneri attraverso lo stanziamento in bilancio di appositi capitoli sui quali non è possibile assumere impegni ed effettuare pagamenti. In caso di mancata sottoscrizione del contratto, le somme non utilizzate concorrono alla determinazione del risultato di amministrazione. Fa eccezione l’ipotesi di blocco legale dei rinnovi economici nazionali, senza possibilità di recupero, nel qual caso l’accantonamento non deve essere operato.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 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no</w:t>
            </w:r>
          </w:p>
        </w:tc>
      </w:tr>
      <w:tr w:rsidR="00D919AD" w:rsidRPr="00D919AD"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l’imputazione dell’impegno avviene: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per la spesa relativa all’acquisto di beni e servizi:</w:t>
            </w:r>
          </w:p>
          <w:p w:rsidR="00D919AD" w:rsidRPr="00D919AD" w:rsidRDefault="00D919AD" w:rsidP="00FD647C">
            <w:pPr>
              <w:numPr>
                <w:ilvl w:val="0"/>
                <w:numId w:val="4"/>
              </w:numPr>
              <w:spacing w:after="0" w:line="240" w:lineRule="auto"/>
              <w:ind w:left="0"/>
              <w:rPr>
                <w:rFonts w:cstheme="minorHAnsi"/>
                <w:sz w:val="20"/>
                <w:szCs w:val="20"/>
              </w:rPr>
            </w:pPr>
            <w:r w:rsidRPr="00D919AD">
              <w:rPr>
                <w:rFonts w:cstheme="minorHAnsi"/>
                <w:sz w:val="20"/>
                <w:szCs w:val="20"/>
              </w:rPr>
              <w:t>nell’esercizio in cui risulta adempiuta completamente la prestazione da cui scaturisce l’obbligazione per la spesa corrente;</w:t>
            </w:r>
          </w:p>
          <w:p w:rsidR="00D919AD" w:rsidRPr="00D919AD" w:rsidRDefault="00D919AD" w:rsidP="00FD647C">
            <w:pPr>
              <w:numPr>
                <w:ilvl w:val="0"/>
                <w:numId w:val="4"/>
              </w:numPr>
              <w:spacing w:after="0" w:line="240" w:lineRule="auto"/>
              <w:ind w:left="0"/>
              <w:rPr>
                <w:rFonts w:cstheme="minorHAnsi"/>
                <w:sz w:val="20"/>
                <w:szCs w:val="20"/>
              </w:rPr>
            </w:pPr>
            <w:r w:rsidRPr="00D919AD">
              <w:rPr>
                <w:rFonts w:cstheme="minorHAnsi"/>
                <w:sz w:val="20"/>
                <w:szCs w:val="20"/>
              </w:rPr>
              <w:t>negli esercizi considerati nel bilancio di previsione, per la quota annuale della fornitura di beni e servizi nel caso di contratti di affitto, e di somministrazione e altre forniture periodiche ultrannuali. Ad esempio, al momento della firma del contratto di fornitura continuativa di servizi a cavallo tra due esercizi si impegna l’intera spesa, imputando distintamente nei due esercizi le relative quote di spesa. Ciascuna quota di spesa trova copertura nelle risorse correnti dell’esercizio in cui è imputata e non richiede la costituzione del fondo pluriennale vincolato;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 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no</w:t>
            </w:r>
          </w:p>
        </w:tc>
      </w:tr>
      <w:tr w:rsidR="00D919AD" w:rsidRPr="00D919AD"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per la spesa riguardante gli aggi corrisposti sui ruoli, nello stesso esercizio in cui le corrispondenti entrate sono accertate, per un importo pari a quello previsto nella convenzione per la riscossione dei tributi applicato all’ammontare delle entrate accertato, al netto dell’eventuale relativo accantonamento al fondo crediti di dubbia esigibilità;</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 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no</w:t>
            </w:r>
          </w:p>
        </w:tc>
      </w:tr>
      <w:tr w:rsidR="00D919AD" w:rsidRPr="00D919AD"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l’imputazione dell’impegno avviene: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nell’esercizio in cui la prestazione è resa per i gettoni di presenza dei componenti del Consiglio, anche se le spese sono liquidate e pagate nell’esercizio successivo;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 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no</w:t>
            </w:r>
          </w:p>
        </w:tc>
      </w:tr>
      <w:tr w:rsidR="00D919AD" w:rsidRPr="00D919AD"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riguardanti le commissioni per l’alienazione di beni, di titoli e di partecipazioni, nello stesso esercizio in cui le corrispondenti entrate sono accertate, per un importo pari a quello previsto dal contratto, nel caso in cui il provento è incassato al netto. La contabilizzazione di tali oneri è effettuata nel rispetto del principio dell’integrità del bilancio, anche nel caso di assenza di un pagamento effettivo. La copertura delle commissioni per l’alienazione di beni immobili o di titoli e partecipazioni può essere costituita dalle entrate correlate.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 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no</w:t>
            </w:r>
          </w:p>
        </w:tc>
      </w:tr>
      <w:tr w:rsidR="00D919AD" w:rsidRPr="00D919AD"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l’imputazione dell’impegno per la spesa del personale avviene: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 xml:space="preserve">Le spese relative al trattamento accessorio e premiante, liquidate nell’esercizio successivo a quello cui si riferiscono, sono stanziate e impegnate in tale esercizio. Alla sottoscrizione della contrattazione integrativa si impegnano le obbligazioni relative al trattamento stesso accessorio e premiante, imputandole contabilmente agli esercizi del bilancio di previsione in cui tali obbligazioni scadono o diventano esigibili. Alla fine dell’esercizio, nelle more della sottoscrizione della contrattazione integrativa, sulla base della formale delibera di costituzione del fondo, vista la certificazione dei revisori, le risorse destinate al finanziamento del fondo risultano definitivamente vincolate. Non potendo assumere </w:t>
            </w:r>
            <w:proofErr w:type="gramStart"/>
            <w:r w:rsidRPr="00D919AD">
              <w:rPr>
                <w:rFonts w:cstheme="minorHAnsi"/>
                <w:sz w:val="20"/>
                <w:szCs w:val="20"/>
              </w:rPr>
              <w:t>l’impegno,  le</w:t>
            </w:r>
            <w:proofErr w:type="gramEnd"/>
            <w:r w:rsidRPr="00D919AD">
              <w:rPr>
                <w:rFonts w:cstheme="minorHAnsi"/>
                <w:sz w:val="20"/>
                <w:szCs w:val="20"/>
              </w:rPr>
              <w:t xml:space="preserve"> correlate economie di spesa confluiscono nella quota </w:t>
            </w:r>
            <w:r w:rsidRPr="00D919AD">
              <w:rPr>
                <w:rFonts w:cstheme="minorHAnsi"/>
                <w:sz w:val="20"/>
                <w:szCs w:val="20"/>
              </w:rPr>
              <w:lastRenderedPageBreak/>
              <w:t xml:space="preserve">vincolata del risultato di amministrazione, immediatamente utilizzabili secondo la disciplina generale, anche nel corso dell’esercizio provvisorio. </w:t>
            </w:r>
          </w:p>
          <w:p w:rsidR="00D919AD" w:rsidRPr="00D919AD" w:rsidRDefault="00D919AD" w:rsidP="00FD647C">
            <w:pPr>
              <w:spacing w:after="0" w:line="240" w:lineRule="auto"/>
              <w:rPr>
                <w:rFonts w:cstheme="minorHAnsi"/>
                <w:sz w:val="20"/>
                <w:szCs w:val="20"/>
              </w:rPr>
            </w:pPr>
            <w:r w:rsidRPr="00D919AD">
              <w:rPr>
                <w:rFonts w:cstheme="minorHAnsi"/>
                <w:sz w:val="20"/>
                <w:szCs w:val="20"/>
              </w:rPr>
              <w:t xml:space="preserve">Le verifiche dell’Organo di revisione, propedeutiche alla certificazione prevista dall’art. 40, comma 3-sexies, del </w:t>
            </w:r>
            <w:proofErr w:type="spellStart"/>
            <w:r w:rsidRPr="00D919AD">
              <w:rPr>
                <w:rFonts w:cstheme="minorHAnsi"/>
                <w:sz w:val="20"/>
                <w:szCs w:val="20"/>
              </w:rPr>
              <w:t>D.Lgs.</w:t>
            </w:r>
            <w:proofErr w:type="spellEnd"/>
            <w:r w:rsidRPr="00D919AD">
              <w:rPr>
                <w:rFonts w:cstheme="minorHAnsi"/>
                <w:sz w:val="20"/>
                <w:szCs w:val="20"/>
              </w:rPr>
              <w:t xml:space="preserve"> 165/2001, sono effettuate con riferimento all’esercizio del bilancio di previsione cui la contrattazione si riferisce.</w:t>
            </w:r>
          </w:p>
          <w:p w:rsidR="00D919AD" w:rsidRPr="00D919AD" w:rsidRDefault="00D919AD" w:rsidP="00FD647C">
            <w:pPr>
              <w:spacing w:after="0" w:line="240" w:lineRule="auto"/>
              <w:rPr>
                <w:rFonts w:cstheme="minorHAnsi"/>
                <w:sz w:val="20"/>
                <w:szCs w:val="20"/>
              </w:rPr>
            </w:pPr>
            <w:r w:rsidRPr="00D919AD">
              <w:rPr>
                <w:rFonts w:cstheme="minorHAnsi"/>
                <w:sz w:val="20"/>
                <w:szCs w:val="20"/>
              </w:rPr>
              <w:t>In caso di mancata costituzione del fondo nell’anno di riferimento, le economie di bilancio confluiscono nel risultato di amministrazione, vincolato per la sola quota del fondo obbligatoriamente prevista dalla contrattazione collettiva nazionale. Identiche regole si applicano ai fondi per il personale dirigente.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lastRenderedPageBreak/>
              <w:t> 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no</w:t>
            </w:r>
          </w:p>
        </w:tc>
      </w:tr>
      <w:tr w:rsidR="00D919AD" w:rsidRPr="00D919AD"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l’imputazione dell’impegno avviene: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per la spesa relativa a trasferimenti correnti:</w:t>
            </w:r>
          </w:p>
          <w:p w:rsidR="00D919AD" w:rsidRPr="00D919AD" w:rsidRDefault="00D919AD" w:rsidP="00FD647C">
            <w:pPr>
              <w:numPr>
                <w:ilvl w:val="0"/>
                <w:numId w:val="5"/>
              </w:numPr>
              <w:spacing w:after="0" w:line="240" w:lineRule="auto"/>
              <w:ind w:left="0"/>
              <w:rPr>
                <w:rFonts w:cstheme="minorHAnsi"/>
                <w:sz w:val="20"/>
                <w:szCs w:val="20"/>
              </w:rPr>
            </w:pPr>
            <w:r w:rsidRPr="00D919AD">
              <w:rPr>
                <w:rFonts w:cstheme="minorHAnsi"/>
                <w:sz w:val="20"/>
                <w:szCs w:val="20"/>
              </w:rPr>
              <w:t>nell’esercizio finanziario in cui viene adottato l’atto amministrativo di attribuzione del contributo. Nel caso in cui l’atto amministrativo preveda espressamente le modalità temporali e le scadenze in cui il trasferimento è erogato, l’impegno è imputato negli esercizi in cui l’obbligazione viene a scadenza. L’amministrazione pubblica ricevente rileverà l’accertamento di entrata riferito al trasferimento corrente e ad esso saranno correlate le obbligazioni giuridiche passive che scadono nell’esercizio di riferimento correlate al trasferimento o la creazione del fondo vincolato da trasferire ai futuri esercizi (nel caso di progetti specifici finanziati da trasferimenti correnti finalizzati);</w:t>
            </w:r>
          </w:p>
          <w:p w:rsidR="00D919AD" w:rsidRPr="00D919AD" w:rsidRDefault="00D919AD" w:rsidP="00FD647C">
            <w:pPr>
              <w:numPr>
                <w:ilvl w:val="0"/>
                <w:numId w:val="5"/>
              </w:numPr>
              <w:spacing w:after="0" w:line="240" w:lineRule="auto"/>
              <w:ind w:left="0"/>
              <w:rPr>
                <w:rFonts w:cstheme="minorHAnsi"/>
                <w:sz w:val="20"/>
                <w:szCs w:val="20"/>
              </w:rPr>
            </w:pPr>
            <w:r w:rsidRPr="00D919AD">
              <w:rPr>
                <w:rFonts w:cstheme="minorHAnsi"/>
                <w:sz w:val="20"/>
                <w:szCs w:val="20"/>
              </w:rPr>
              <w:t>nel caso di contributi in conto interessi o contributi correnti di carattere pluriennale ricorrente negli esercizi finanziari in cui vengono a scadenza le singole obbligazioni, individuati sulla base del piano di ammortamento del prestito. Per gli esercizi ancora non gestiti si predispone l’impegno automatico, sempre sulla base del piano di ammortamento</w:t>
            </w:r>
          </w:p>
          <w:p w:rsidR="00D919AD" w:rsidRPr="00D919AD" w:rsidRDefault="00D919AD" w:rsidP="00FD647C">
            <w:pPr>
              <w:spacing w:after="0" w:line="240" w:lineRule="auto"/>
              <w:rPr>
                <w:rFonts w:cstheme="minorHAnsi"/>
                <w:sz w:val="20"/>
                <w:szCs w:val="20"/>
              </w:rPr>
            </w:pPr>
            <w:r w:rsidRPr="00D919AD">
              <w:rPr>
                <w:rFonts w:cstheme="minorHAnsi"/>
                <w:sz w:val="20"/>
                <w:szCs w:val="20"/>
              </w:rPr>
              <w:t>Le modalità di contabilizzazione dei contributi agli investimenti e dei trasferimenti in conto capitale sono le stesse previste per i trasferimenti correnti. I trasferimenti in conto capitale non costituiscono spese di investimento e, pertanto, non possono essere finanziati attraverso l’assunzione di debiti e dismissioni patrimoniali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 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no</w:t>
            </w:r>
          </w:p>
        </w:tc>
      </w:tr>
      <w:tr w:rsidR="00D919AD" w:rsidRPr="00D919AD"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per la spesa per l’utilizzo di beni di terzi (es. locazione), l’imputazione dell’impegno si realizza per l’intero onere dell’obbligazione perfezionata, con imputazione negli esercizi in cui l’obbligazione giuridica passiva viene a scadere.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 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no</w:t>
            </w:r>
          </w:p>
        </w:tc>
      </w:tr>
      <w:tr w:rsidR="00D919AD" w:rsidRPr="00D919AD"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l’imputazione dell’impegno avviene: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nelle contabilità fiscalmente rilevanti dell’ente, le entrate e le spese sono contabilizzate al lordo di IVA e, per la determinazione della posizione IVA, diventano rilevanti la contabilità economico patrimoniale e le scritture richieste dalle norme fiscali (ad es. registri IVA). La contabilità finanziaria rileva solo, tra le entrate l’eventuale credito IVA, o l’eventuale debito IVA, tra le spese. Il relativo impegno è imputato nell’esercizio in cui è effettuata la dichiarazione IVA o è contestuale all’eventuale pagamento eseguito nel corso dell’anno di imposta, mentre l’accertamento del credito IVA è registrato imputandolo nell’esercizio in cui l’ente presenta la richiesta di rimborso o effettua la compensazione.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 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no</w:t>
            </w:r>
          </w:p>
        </w:tc>
      </w:tr>
      <w:tr w:rsidR="00D919AD" w:rsidRPr="00D919AD"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Il credito IVA imputabile a investimenti finanziati da debito non può essere destinato alla compensazione di tributi o alla copertura di spese correnti. Il credito IVA imputabile a investimenti finanziati da debito non può essere destinato alla compensazione di tributi o alla copertura di spese correnti. A tal fine, una quota del risultato di amministrazione pari al credito IVA derivante dall’Investimento finanziato dal debito, è vincolata alla realizzazione di investimenti. Effettuato il vincolo l’ente può procedere alla compensazione dei tributi o al finanziamento di spese correnti.</w:t>
            </w:r>
          </w:p>
          <w:p w:rsidR="00D919AD" w:rsidRPr="00D919AD" w:rsidRDefault="00D919AD" w:rsidP="00FD647C">
            <w:pPr>
              <w:spacing w:after="0" w:line="240" w:lineRule="auto"/>
              <w:rPr>
                <w:rFonts w:cstheme="minorHAnsi"/>
                <w:sz w:val="20"/>
                <w:szCs w:val="20"/>
              </w:rPr>
            </w:pPr>
            <w:r w:rsidRPr="00D919AD">
              <w:rPr>
                <w:rFonts w:cstheme="minorHAnsi"/>
                <w:sz w:val="20"/>
                <w:szCs w:val="20"/>
              </w:rPr>
              <w:t>L’ente fornisce informazioni riguardanti la gestione IVA nella relazione sulla gestione al consuntivo.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 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no</w:t>
            </w:r>
          </w:p>
        </w:tc>
      </w:tr>
      <w:tr w:rsidR="00D919AD" w:rsidRPr="00D919AD"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 xml:space="preserve">l’imputazione dell’impegno avviene: </w:t>
            </w:r>
          </w:p>
          <w:p w:rsidR="00D919AD" w:rsidRPr="00D919AD" w:rsidRDefault="00D919AD" w:rsidP="00FD647C">
            <w:pPr>
              <w:spacing w:after="0" w:line="240" w:lineRule="auto"/>
              <w:rPr>
                <w:rFonts w:cstheme="minorHAnsi"/>
                <w:sz w:val="20"/>
                <w:szCs w:val="20"/>
              </w:rPr>
            </w:pPr>
            <w:r w:rsidRPr="00D919AD">
              <w:rPr>
                <w:rFonts w:cstheme="minorHAnsi"/>
                <w:sz w:val="20"/>
                <w:szCs w:val="20"/>
              </w:rPr>
              <w:t>IVA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 xml:space="preserve">In contabilità finanziaria, le spese effettuate nell’ambito di attività commerciali soggette al meccanismo dell’inversione contabile (reverse </w:t>
            </w:r>
            <w:proofErr w:type="spellStart"/>
            <w:r w:rsidRPr="00D919AD">
              <w:rPr>
                <w:rFonts w:cstheme="minorHAnsi"/>
                <w:sz w:val="20"/>
                <w:szCs w:val="20"/>
              </w:rPr>
              <w:t>charge</w:t>
            </w:r>
            <w:proofErr w:type="spellEnd"/>
            <w:r w:rsidRPr="00D919AD">
              <w:rPr>
                <w:rFonts w:cstheme="minorHAnsi"/>
                <w:sz w:val="20"/>
                <w:szCs w:val="20"/>
              </w:rPr>
              <w:t>), sono registrate come segue:</w:t>
            </w:r>
          </w:p>
          <w:p w:rsidR="00D919AD" w:rsidRPr="00D919AD" w:rsidRDefault="00D919AD" w:rsidP="00FD647C">
            <w:pPr>
              <w:numPr>
                <w:ilvl w:val="0"/>
                <w:numId w:val="6"/>
              </w:numPr>
              <w:spacing w:after="0" w:line="240" w:lineRule="auto"/>
              <w:ind w:left="0"/>
              <w:rPr>
                <w:rFonts w:cstheme="minorHAnsi"/>
                <w:sz w:val="20"/>
                <w:szCs w:val="20"/>
              </w:rPr>
            </w:pPr>
            <w:r w:rsidRPr="00D919AD">
              <w:rPr>
                <w:rFonts w:cstheme="minorHAnsi"/>
                <w:sz w:val="20"/>
                <w:szCs w:val="20"/>
              </w:rPr>
              <w:t>la spesa concernente l’acquisizione di beni o di servizi è impegnata per l’importo comprensivo di IVA;</w:t>
            </w:r>
          </w:p>
          <w:p w:rsidR="00D919AD" w:rsidRPr="00D919AD" w:rsidRDefault="00D919AD" w:rsidP="00FD647C">
            <w:pPr>
              <w:numPr>
                <w:ilvl w:val="1"/>
                <w:numId w:val="6"/>
              </w:numPr>
              <w:spacing w:after="0" w:line="240" w:lineRule="auto"/>
              <w:ind w:left="0"/>
              <w:rPr>
                <w:rFonts w:cstheme="minorHAnsi"/>
                <w:sz w:val="20"/>
                <w:szCs w:val="20"/>
              </w:rPr>
            </w:pPr>
            <w:r w:rsidRPr="00D919AD">
              <w:rPr>
                <w:rFonts w:cstheme="minorHAnsi"/>
                <w:sz w:val="20"/>
                <w:szCs w:val="20"/>
              </w:rPr>
              <w:lastRenderedPageBreak/>
              <w:t xml:space="preserve"> tra le entrate </w:t>
            </w:r>
            <w:proofErr w:type="gramStart"/>
            <w:r w:rsidRPr="00D919AD">
              <w:rPr>
                <w:rFonts w:cstheme="minorHAnsi"/>
                <w:sz w:val="20"/>
                <w:szCs w:val="20"/>
              </w:rPr>
              <w:t>correnti  si</w:t>
            </w:r>
            <w:proofErr w:type="gramEnd"/>
            <w:r w:rsidRPr="00D919AD">
              <w:rPr>
                <w:rFonts w:cstheme="minorHAnsi"/>
                <w:sz w:val="20"/>
                <w:szCs w:val="20"/>
              </w:rPr>
              <w:t xml:space="preserve"> accerta un entrata di importo pari all’IVA derivante dall’operazione di inversione contabile, al capitolo codificato E.3.05.99.03.001 Entrate per sterilizzazione inversione contabile IVA (reverse </w:t>
            </w:r>
            <w:proofErr w:type="spellStart"/>
            <w:r w:rsidRPr="00D919AD">
              <w:rPr>
                <w:rFonts w:cstheme="minorHAnsi"/>
                <w:sz w:val="20"/>
                <w:szCs w:val="20"/>
              </w:rPr>
              <w:t>charge</w:t>
            </w:r>
            <w:proofErr w:type="spellEnd"/>
            <w:r w:rsidRPr="00D919AD">
              <w:rPr>
                <w:rFonts w:cstheme="minorHAnsi"/>
                <w:sz w:val="20"/>
                <w:szCs w:val="20"/>
              </w:rPr>
              <w:t>);</w:t>
            </w:r>
          </w:p>
          <w:p w:rsidR="00D919AD" w:rsidRPr="00D919AD" w:rsidRDefault="00D919AD" w:rsidP="00FD647C">
            <w:pPr>
              <w:numPr>
                <w:ilvl w:val="1"/>
                <w:numId w:val="6"/>
              </w:numPr>
              <w:spacing w:after="0" w:line="240" w:lineRule="auto"/>
              <w:ind w:left="0"/>
              <w:rPr>
                <w:rFonts w:cstheme="minorHAnsi"/>
                <w:sz w:val="20"/>
                <w:szCs w:val="20"/>
              </w:rPr>
            </w:pPr>
            <w:r w:rsidRPr="00D919AD">
              <w:rPr>
                <w:rFonts w:cstheme="minorHAnsi"/>
                <w:sz w:val="20"/>
                <w:szCs w:val="20"/>
              </w:rPr>
              <w:t xml:space="preserve">emette un ordine di pagamento a favore del fornitore per l’importo fatturato al lordo dell’IVA a valere dell’impegno di spesa di cui alla lettera a, con contestuale ritenuta per l’importo </w:t>
            </w:r>
            <w:proofErr w:type="gramStart"/>
            <w:r w:rsidRPr="00D919AD">
              <w:rPr>
                <w:rFonts w:cstheme="minorHAnsi"/>
                <w:sz w:val="20"/>
                <w:szCs w:val="20"/>
              </w:rPr>
              <w:t>dell’IVA ;</w:t>
            </w:r>
            <w:proofErr w:type="gramEnd"/>
          </w:p>
          <w:p w:rsidR="00D919AD" w:rsidRPr="00D919AD" w:rsidRDefault="00D919AD" w:rsidP="00FD647C">
            <w:pPr>
              <w:numPr>
                <w:ilvl w:val="1"/>
                <w:numId w:val="6"/>
              </w:numPr>
              <w:spacing w:after="0" w:line="240" w:lineRule="auto"/>
              <w:ind w:left="0"/>
              <w:rPr>
                <w:rFonts w:cstheme="minorHAnsi"/>
                <w:sz w:val="20"/>
                <w:szCs w:val="20"/>
              </w:rPr>
            </w:pPr>
            <w:r w:rsidRPr="00D919AD">
              <w:rPr>
                <w:rFonts w:cstheme="minorHAnsi"/>
                <w:sz w:val="20"/>
                <w:szCs w:val="20"/>
              </w:rPr>
              <w:t xml:space="preserve">a fronte della ritenuta IVA indicata alla lettera a. si provvede all’emissione di una </w:t>
            </w:r>
            <w:proofErr w:type="gramStart"/>
            <w:r w:rsidRPr="00D919AD">
              <w:rPr>
                <w:rFonts w:cstheme="minorHAnsi"/>
                <w:sz w:val="20"/>
                <w:szCs w:val="20"/>
              </w:rPr>
              <w:t>reversale  in</w:t>
            </w:r>
            <w:proofErr w:type="gramEnd"/>
            <w:r w:rsidRPr="00D919AD">
              <w:rPr>
                <w:rFonts w:cstheme="minorHAnsi"/>
                <w:sz w:val="20"/>
                <w:szCs w:val="20"/>
              </w:rPr>
              <w:t xml:space="preserve"> entrata di pari importo a valere dell’accertamento di cui alla lettera b;</w:t>
            </w:r>
          </w:p>
          <w:p w:rsidR="00D919AD" w:rsidRPr="00D919AD" w:rsidRDefault="00D919AD" w:rsidP="00FD647C">
            <w:pPr>
              <w:numPr>
                <w:ilvl w:val="1"/>
                <w:numId w:val="6"/>
              </w:numPr>
              <w:spacing w:after="0" w:line="240" w:lineRule="auto"/>
              <w:ind w:left="0"/>
              <w:rPr>
                <w:rFonts w:cstheme="minorHAnsi"/>
                <w:sz w:val="20"/>
                <w:szCs w:val="20"/>
              </w:rPr>
            </w:pPr>
            <w:r w:rsidRPr="00D919AD">
              <w:rPr>
                <w:rFonts w:cstheme="minorHAnsi"/>
                <w:sz w:val="20"/>
                <w:szCs w:val="20"/>
              </w:rPr>
              <w:t xml:space="preserve">alle scadenze per la liquidazione dell’IVA, in considerazione delle risultanze delle scritture della contabilità economico patrimoniale e delle scritture richieste dalle norme fiscali, l’ente determina la propria posizione IVA e, se risulta un debito </w:t>
            </w:r>
            <w:proofErr w:type="gramStart"/>
            <w:r w:rsidRPr="00D919AD">
              <w:rPr>
                <w:rFonts w:cstheme="minorHAnsi"/>
                <w:sz w:val="20"/>
                <w:szCs w:val="20"/>
              </w:rPr>
              <w:t>IVA,  impegna</w:t>
            </w:r>
            <w:proofErr w:type="gramEnd"/>
            <w:r w:rsidRPr="00D919AD">
              <w:rPr>
                <w:rFonts w:cstheme="minorHAnsi"/>
                <w:sz w:val="20"/>
                <w:szCs w:val="20"/>
              </w:rPr>
              <w:t xml:space="preserve"> la relativa spesa alla voce codificata U.1.10.03.01.000 “Versamenti IVA a debito per le gestioni commerciali”.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lastRenderedPageBreak/>
              <w:t> 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no</w:t>
            </w:r>
          </w:p>
        </w:tc>
      </w:tr>
      <w:tr w:rsidR="00D919AD" w:rsidRPr="00D919AD"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541BF8" w:rsidP="00FD647C">
            <w:pPr>
              <w:spacing w:after="0" w:line="240" w:lineRule="auto"/>
              <w:rPr>
                <w:rFonts w:cstheme="minorHAnsi"/>
                <w:sz w:val="20"/>
                <w:szCs w:val="20"/>
              </w:rPr>
            </w:pPr>
            <w:r>
              <w:rPr>
                <w:rFonts w:cstheme="minorHAnsi"/>
                <w:sz w:val="20"/>
                <w:szCs w:val="20"/>
              </w:rPr>
              <w:t>IRAP</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 xml:space="preserve">Le amministrazioni che, per la determinazione dell’IRAP, hanno optato per l’applicazione del metodo commerciale sulle attività rilevanti ai fini IRAP e, in sede di presentazione della dichiarazione annuale, evidenziano un credito, relativo ai maggiori versamenti degli acconti mensili IRAP effettuati nell’anno precedente, in misura superiore rispetto all’imposta dovuta per la quota “commerciale” delle retribuzioni erogate al personale impiegato promiscuamente nelle attività oggetto di opzione, accertano il credito IRAP imputandolo nell’esercizio in cui l’ente presenta la richiesta di rimborso.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 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no</w:t>
            </w:r>
          </w:p>
        </w:tc>
      </w:tr>
      <w:tr w:rsidR="00D919AD" w:rsidRPr="00D919AD"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l’imputazione dell’impegno avviene: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 xml:space="preserve">gli impegni riguardanti gli interessi passivi sono imputati al bilancio dell’esercizio in cui viene a scadenza la obbligazione giuridica passiva. </w:t>
            </w:r>
          </w:p>
          <w:p w:rsidR="00D919AD" w:rsidRPr="00D919AD" w:rsidRDefault="00D919AD" w:rsidP="00FD647C">
            <w:pPr>
              <w:spacing w:after="0" w:line="240" w:lineRule="auto"/>
              <w:rPr>
                <w:rFonts w:cstheme="minorHAnsi"/>
                <w:sz w:val="20"/>
                <w:szCs w:val="20"/>
              </w:rPr>
            </w:pPr>
            <w:r w:rsidRPr="00D919AD">
              <w:rPr>
                <w:rFonts w:cstheme="minorHAnsi"/>
                <w:sz w:val="20"/>
                <w:szCs w:val="20"/>
              </w:rPr>
              <w:t>Gli impegni concernenti gli interessi derivanti da operazioni di indebitamento perfezionato sono imputati negli esercizi del bilancio di previsione e negli esercizi successivi sulla base del piano di ammortamento. Per gli esercizi ancora non gestiti si predispone l’impegno automatico, sempre sulla base del piano di ammortamento. Gli impegni sono registrati a seguito dell’effettiva erogazione del prestito o della messa a disposizione del finanziamento (Cassa Depositi e Prestiti).</w:t>
            </w:r>
          </w:p>
          <w:p w:rsidR="00D919AD" w:rsidRPr="00D919AD" w:rsidRDefault="00D919AD" w:rsidP="00FD647C">
            <w:pPr>
              <w:spacing w:after="0" w:line="240" w:lineRule="auto"/>
              <w:rPr>
                <w:rFonts w:cstheme="minorHAnsi"/>
                <w:sz w:val="20"/>
                <w:szCs w:val="20"/>
              </w:rPr>
            </w:pPr>
            <w:r w:rsidRPr="00D919AD">
              <w:rPr>
                <w:rFonts w:cstheme="minorHAnsi"/>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 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no</w:t>
            </w:r>
          </w:p>
        </w:tc>
      </w:tr>
      <w:tr w:rsidR="00D919AD" w:rsidRPr="00D919AD"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 xml:space="preserve">Gli impegni derivanti dal conferimento di incarico a legali esterni, la cui esigibilità non è </w:t>
            </w:r>
            <w:proofErr w:type="gramStart"/>
            <w:r w:rsidRPr="00D919AD">
              <w:rPr>
                <w:rFonts w:cstheme="minorHAnsi"/>
                <w:sz w:val="20"/>
                <w:szCs w:val="20"/>
              </w:rPr>
              <w:t>determinabile,  sono</w:t>
            </w:r>
            <w:proofErr w:type="gramEnd"/>
            <w:r w:rsidRPr="00D919AD">
              <w:rPr>
                <w:rFonts w:cstheme="minorHAnsi"/>
                <w:sz w:val="20"/>
                <w:szCs w:val="20"/>
              </w:rPr>
              <w:t xml:space="preserve"> imputati all’esercizio in cui il contratto è firmato, in deroga al principio della competenza potenziata, al fine di garantire la copertura della spesa. In sede di predisposizione del rendiconto, in occasione della verifica dei residui prevista dall’articolo 3, comma 4 del presente decreto, se l’obbligazione non è esigibile, si provvede alla cancellazione dell’impegno ed alla sua immediata re-imputazione all’esercizio in cui si prevede che sarà esigibile, anche sulla base delle indicazioni presenti nel contratto di incarico al legale. Al fine di evitare la formazione di debiti fuori bilancio, l’ente chiede ogni anno al legale di confermare o meno il preventivo di spesa sulla base della quale è stato assunto l’impegno e, di conseguenza, provvede ad assumere gli eventuali ulteriori impegni. Nell’esercizio in cui l’impegno è cancellato si iscrive, tra le spese, il fondo pluriennale vincolato al fine di consentire la copertura dell’impegno nell’esercizio in cui l’obbligazione è imputata. Al riguardo si ricorda che l’articolo 3, comma 4, del presente decreto prevede che le variazioni agli stanziamenti del fondo pluriennale vincolato e dell’esercizio in corso e dell’esercizio precedente necessarie alla </w:t>
            </w:r>
            <w:proofErr w:type="spellStart"/>
            <w:r w:rsidRPr="00D919AD">
              <w:rPr>
                <w:rFonts w:cstheme="minorHAnsi"/>
                <w:sz w:val="20"/>
                <w:szCs w:val="20"/>
              </w:rPr>
              <w:t>reimputazione</w:t>
            </w:r>
            <w:proofErr w:type="spellEnd"/>
            <w:r w:rsidRPr="00D919AD">
              <w:rPr>
                <w:rFonts w:cstheme="minorHAnsi"/>
                <w:sz w:val="20"/>
                <w:szCs w:val="20"/>
              </w:rPr>
              <w:t xml:space="preserve"> delle entrate e delle spese </w:t>
            </w:r>
            <w:proofErr w:type="spellStart"/>
            <w:r w:rsidRPr="00D919AD">
              <w:rPr>
                <w:rFonts w:cstheme="minorHAnsi"/>
                <w:sz w:val="20"/>
                <w:szCs w:val="20"/>
              </w:rPr>
              <w:t>reimputate</w:t>
            </w:r>
            <w:proofErr w:type="spellEnd"/>
            <w:r w:rsidRPr="00D919AD">
              <w:rPr>
                <w:rFonts w:cstheme="minorHAnsi"/>
                <w:sz w:val="20"/>
                <w:szCs w:val="20"/>
              </w:rPr>
              <w:t xml:space="preserve"> sono effettuate con provvedimento amministrativo della giunta entro i termini previsti per l’approvazione del rendiconto.</w:t>
            </w:r>
          </w:p>
          <w:p w:rsidR="00D919AD" w:rsidRPr="00D919AD" w:rsidRDefault="00D919AD" w:rsidP="00FD647C">
            <w:pPr>
              <w:spacing w:after="0" w:line="240" w:lineRule="auto"/>
              <w:rPr>
                <w:rFonts w:cstheme="minorHAnsi"/>
                <w:sz w:val="20"/>
                <w:szCs w:val="20"/>
              </w:rPr>
            </w:pPr>
            <w:r w:rsidRPr="00D919AD">
              <w:rPr>
                <w:rFonts w:cstheme="minorHAnsi"/>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 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no</w:t>
            </w:r>
          </w:p>
        </w:tc>
      </w:tr>
      <w:tr w:rsidR="00D919AD" w:rsidRPr="00D919AD"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l’imputazione dell’impegno avviene: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 xml:space="preserve">Le spese di investimento sono impegnate agli esercizi in cui scadono le singole obbligazioni passive derivanti dal contratto o dalla convenzione avente ad oggetto la realizzazione dell’investimento, sulla base del relativo cronoprogramma. Anche per le spese di investimento che non richiedono la definizione di un cronoprogramma, l’imputazione agli esercizi della spesa </w:t>
            </w:r>
            <w:r w:rsidRPr="00D919AD">
              <w:rPr>
                <w:rFonts w:cstheme="minorHAnsi"/>
                <w:sz w:val="20"/>
                <w:szCs w:val="20"/>
              </w:rPr>
              <w:lastRenderedPageBreak/>
              <w:t xml:space="preserve">riguardante la realizzazione dell’investimento è effettuata nel rispetto del principio generale della competenza finanziaria potenziata, ossia in considerazione dell’esigibilità della spesa. Pertanto, anche per le spese che non sono soggette a gara, è necessario impegnare sulla base di una obbligazione giuridicamente perfezionata, in considerazione della scadenza dell’obbligazione stessa. A tal fine, l’amministrazione, nella fase della contrattazione, richiede, ove possibile, che nel contratto siano indicate le scadenze dei singoli pagamenti. </w:t>
            </w:r>
            <w:proofErr w:type="gramStart"/>
            <w:r w:rsidRPr="00D919AD">
              <w:rPr>
                <w:rFonts w:cstheme="minorHAnsi"/>
                <w:sz w:val="20"/>
                <w:szCs w:val="20"/>
              </w:rPr>
              <w:t>E’</w:t>
            </w:r>
            <w:proofErr w:type="gramEnd"/>
            <w:r w:rsidRPr="00D919AD">
              <w:rPr>
                <w:rFonts w:cstheme="minorHAnsi"/>
                <w:sz w:val="20"/>
                <w:szCs w:val="20"/>
              </w:rPr>
              <w:t xml:space="preserve"> in ogni caso auspicabile che l’ente richieda sempre un cronoprogramma della spesa di investimento da realizzare.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lastRenderedPageBreak/>
              <w:t> 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no</w:t>
            </w:r>
          </w:p>
        </w:tc>
      </w:tr>
      <w:tr w:rsidR="00D919AD" w:rsidRPr="00D919AD"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La copertura finanziaria delle spese di investimento, comprese quelle che comportano impegni di spesa imputati a più esercizi deve essere predisposta - fin dal momento dell’attivazione del primo impegno - con riferimento all’importo complessivo della spesa dell’investimento.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 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no</w:t>
            </w:r>
          </w:p>
        </w:tc>
      </w:tr>
      <w:tr w:rsidR="00D919AD" w:rsidRPr="00D919AD"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l’imputazione dell’impegno avviene: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 xml:space="preserve">La spesa concernente gli interventi di valore stimato inferiore a 100.000 euro è stanziata in bilancio anche se detti interventi non sono inseriti nel programma triennale dei lavori pubblici. </w:t>
            </w:r>
          </w:p>
          <w:p w:rsidR="00D919AD" w:rsidRPr="00D919AD" w:rsidRDefault="00D919AD" w:rsidP="00FD647C">
            <w:pPr>
              <w:spacing w:after="0" w:line="240" w:lineRule="auto"/>
              <w:rPr>
                <w:rFonts w:cstheme="minorHAnsi"/>
                <w:sz w:val="20"/>
                <w:szCs w:val="20"/>
              </w:rPr>
            </w:pPr>
            <w:r w:rsidRPr="00D919AD">
              <w:rPr>
                <w:rFonts w:cstheme="minorHAnsi"/>
                <w:sz w:val="20"/>
                <w:szCs w:val="20"/>
              </w:rPr>
              <w:t xml:space="preserve">In tali casi, la spesa di progettazione è registrata nel Titolo II della spesa, con imputazione agli stanziamenti riguardanti l’opera complessiva, sia nel caso di progettazione interna che di progettazione esterna, in attuazione dell’art. 113, comma 1, del Codice, il quale prevede “Gli oneri inerenti alla progettazione, alla direzione dei lavori ovvero al direttore dell'esecuzione, alla vigilanza, ai collaudi tecnici e amministrativi ovvero alle verifiche di conformità, al collaudo statico, agli studi e alle ricerche connessi, alla progettazione dei piani di sicurezza e di coordinamento e al coordinamento della sicurezza in fase di esecuzione quando previsti ai sensi del decreto legislativo 9 aprile 2008 n. 81, alle prestazioni professionali e specialistiche necessari per la redazione di un progetto esecutivo completo in ogni dettaglio fanno carico agli stanziamenti previsti per i singoli appalti di lavori, servizi e forniture negli stati di previsione della spesa o nei bilanci delle stazioni appaltanti”. </w:t>
            </w:r>
          </w:p>
          <w:p w:rsidR="00D919AD" w:rsidRPr="00D919AD" w:rsidRDefault="00D919AD" w:rsidP="00FD647C">
            <w:pPr>
              <w:spacing w:after="0" w:line="240" w:lineRule="auto"/>
              <w:rPr>
                <w:rFonts w:cstheme="minorHAnsi"/>
                <w:sz w:val="20"/>
                <w:szCs w:val="20"/>
              </w:rPr>
            </w:pPr>
            <w:r w:rsidRPr="00D919AD">
              <w:rPr>
                <w:rFonts w:cstheme="minorHAnsi"/>
                <w:sz w:val="20"/>
                <w:szCs w:val="20"/>
              </w:rPr>
              <w:t>In ogni caso, gli stipendi del personale dell’ente incaricato della progettazione sono classificati tra le spese di personale (spesa corrente). La capitalizzazione di tali spese è effettuata attraverso le scritture della contabilità economico patrimoniale e non richiede alcuna rilevazione in contabilità finanziaria.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D919AD" w:rsidRPr="00D919AD" w:rsidRDefault="00D919AD" w:rsidP="00FD647C">
            <w:pPr>
              <w:spacing w:after="0" w:line="240" w:lineRule="auto"/>
              <w:rPr>
                <w:rFonts w:cstheme="minorHAnsi"/>
                <w:sz w:val="20"/>
                <w:szCs w:val="20"/>
              </w:rPr>
            </w:pPr>
            <w:r w:rsidRPr="00D919AD">
              <w:rPr>
                <w:rFonts w:cstheme="minorHAnsi"/>
                <w:sz w:val="20"/>
                <w:szCs w:val="20"/>
              </w:rPr>
              <w:t>no </w:t>
            </w:r>
          </w:p>
        </w:tc>
      </w:tr>
      <w:tr w:rsidR="00541BF8" w:rsidRPr="00FD647C"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tcPr>
          <w:p w:rsidR="00541BF8" w:rsidRPr="00541BF8" w:rsidRDefault="00541BF8" w:rsidP="00FD647C">
            <w:pPr>
              <w:spacing w:after="0" w:line="240" w:lineRule="auto"/>
              <w:rPr>
                <w:rFonts w:cstheme="minorHAnsi"/>
                <w:b/>
                <w:bCs/>
                <w:sz w:val="20"/>
                <w:szCs w:val="20"/>
              </w:rPr>
            </w:pPr>
            <w:r w:rsidRPr="00541BF8">
              <w:rPr>
                <w:rFonts w:cstheme="minorHAnsi"/>
                <w:b/>
                <w:bCs/>
                <w:sz w:val="20"/>
                <w:szCs w:val="20"/>
              </w:rPr>
              <w:t>FASE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tcPr>
          <w:p w:rsidR="00541BF8" w:rsidRPr="00541BF8" w:rsidRDefault="00541BF8" w:rsidP="00FD647C">
            <w:pPr>
              <w:spacing w:after="0" w:line="240" w:lineRule="auto"/>
              <w:rPr>
                <w:rFonts w:cstheme="minorHAnsi"/>
                <w:b/>
                <w:bCs/>
                <w:sz w:val="20"/>
                <w:szCs w:val="20"/>
              </w:rPr>
            </w:pPr>
            <w:r w:rsidRPr="00541BF8">
              <w:rPr>
                <w:rFonts w:cstheme="minorHAnsi"/>
                <w:b/>
                <w:bCs/>
                <w:sz w:val="20"/>
                <w:szCs w:val="20"/>
              </w:rPr>
              <w:t>LIQUIDAZIONE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tcPr>
          <w:p w:rsidR="00541BF8" w:rsidRPr="00FD647C" w:rsidRDefault="00541BF8" w:rsidP="00FD647C">
            <w:pPr>
              <w:spacing w:after="0" w:line="240" w:lineRule="auto"/>
              <w:rPr>
                <w:rFonts w:cstheme="minorHAnsi"/>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tcPr>
          <w:p w:rsidR="00541BF8" w:rsidRPr="00FD647C" w:rsidRDefault="00541BF8" w:rsidP="00FD647C">
            <w:pPr>
              <w:spacing w:after="0" w:line="240" w:lineRule="auto"/>
              <w:rPr>
                <w:rFonts w:cstheme="minorHAnsi"/>
                <w:sz w:val="20"/>
                <w:szCs w:val="20"/>
              </w:rPr>
            </w:pPr>
          </w:p>
        </w:tc>
      </w:tr>
      <w:tr w:rsidR="00FD647C" w:rsidRPr="00FD647C"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FD647C" w:rsidRPr="00FD647C" w:rsidRDefault="00FD647C" w:rsidP="00FD647C">
            <w:pPr>
              <w:spacing w:after="0" w:line="240" w:lineRule="auto"/>
              <w:rPr>
                <w:rFonts w:cstheme="minorHAnsi"/>
                <w:sz w:val="20"/>
                <w:szCs w:val="20"/>
              </w:rPr>
            </w:pPr>
            <w:r w:rsidRPr="00FD647C">
              <w:rPr>
                <w:rFonts w:cstheme="minorHAnsi"/>
                <w:sz w:val="20"/>
                <w:szCs w:val="20"/>
              </w:rPr>
              <w:t>La liquidazione è registrata contabilmente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FD647C" w:rsidRPr="00FD647C" w:rsidRDefault="00FD647C" w:rsidP="00FD647C">
            <w:pPr>
              <w:spacing w:after="0" w:line="240" w:lineRule="auto"/>
              <w:rPr>
                <w:rFonts w:cstheme="minorHAnsi"/>
                <w:sz w:val="20"/>
                <w:szCs w:val="20"/>
              </w:rPr>
            </w:pPr>
            <w:r w:rsidRPr="00FD647C">
              <w:rPr>
                <w:rFonts w:cstheme="minorHAnsi"/>
                <w:sz w:val="20"/>
                <w:szCs w:val="20"/>
              </w:rPr>
              <w:t>La liquidazione è registrata contabilmente quando l’obbligazione diviene effettivamente esigibile, a seguito della verifica della completezza della documentazione prodotta e della idoneità della stessa a comprovare il diritto di credito del creditore, corrispondente ad una spesa che è stata legittimamente posta a carico del bilancio e regolarmente impegnata. Per registrazione contabile si intende qualsiasi forma di evidenza contabile che consente di identificare le spese liquidate, distinguendole da quelle non liquidate.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FD647C" w:rsidRPr="00FD647C" w:rsidRDefault="00FD647C" w:rsidP="00FD647C">
            <w:pPr>
              <w:spacing w:after="0" w:line="240" w:lineRule="auto"/>
              <w:rPr>
                <w:rFonts w:cstheme="minorHAnsi"/>
                <w:sz w:val="20"/>
                <w:szCs w:val="20"/>
              </w:rPr>
            </w:pPr>
            <w:r w:rsidRPr="00FD647C">
              <w:rPr>
                <w:rFonts w:cstheme="minorHAnsi"/>
                <w:sz w:val="20"/>
                <w:szCs w:val="20"/>
              </w:rPr>
              <w:t>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FD647C" w:rsidRPr="00FD647C" w:rsidRDefault="00FD647C" w:rsidP="00FD647C">
            <w:pPr>
              <w:spacing w:after="0" w:line="240" w:lineRule="auto"/>
              <w:rPr>
                <w:rFonts w:cstheme="minorHAnsi"/>
                <w:sz w:val="20"/>
                <w:szCs w:val="20"/>
              </w:rPr>
            </w:pPr>
            <w:r w:rsidRPr="00FD647C">
              <w:rPr>
                <w:rFonts w:cstheme="minorHAnsi"/>
                <w:sz w:val="20"/>
                <w:szCs w:val="20"/>
              </w:rPr>
              <w:t>no </w:t>
            </w:r>
          </w:p>
        </w:tc>
      </w:tr>
      <w:tr w:rsidR="00FD647C" w:rsidRPr="00FD647C"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FD647C" w:rsidRPr="00FD647C" w:rsidRDefault="00FD647C" w:rsidP="00FD647C">
            <w:pPr>
              <w:spacing w:after="0" w:line="240" w:lineRule="auto"/>
              <w:rPr>
                <w:rFonts w:cstheme="minorHAnsi"/>
                <w:sz w:val="20"/>
                <w:szCs w:val="20"/>
              </w:rPr>
            </w:pPr>
            <w:r w:rsidRPr="00FD647C">
              <w:rPr>
                <w:rFonts w:cstheme="minorHAnsi"/>
                <w:sz w:val="20"/>
                <w:szCs w:val="20"/>
              </w:rPr>
              <w:t>verifiche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FD647C" w:rsidRPr="00FD647C" w:rsidRDefault="00FD647C" w:rsidP="00FD647C">
            <w:pPr>
              <w:spacing w:after="0" w:line="240" w:lineRule="auto"/>
              <w:ind w:left="18"/>
              <w:rPr>
                <w:rFonts w:cstheme="minorHAnsi"/>
                <w:sz w:val="20"/>
                <w:szCs w:val="20"/>
              </w:rPr>
            </w:pPr>
            <w:r w:rsidRPr="00FD647C">
              <w:rPr>
                <w:rFonts w:cstheme="minorHAnsi"/>
                <w:sz w:val="20"/>
                <w:szCs w:val="20"/>
              </w:rPr>
              <w:t xml:space="preserve">In particolare, deve essere verificato che: </w:t>
            </w:r>
          </w:p>
          <w:p w:rsidR="00FD647C" w:rsidRPr="00FD647C" w:rsidRDefault="00FD647C" w:rsidP="00FD647C">
            <w:pPr>
              <w:numPr>
                <w:ilvl w:val="0"/>
                <w:numId w:val="10"/>
              </w:numPr>
              <w:spacing w:after="0" w:line="240" w:lineRule="auto"/>
              <w:ind w:left="302" w:hanging="284"/>
              <w:rPr>
                <w:rFonts w:cstheme="minorHAnsi"/>
                <w:sz w:val="20"/>
                <w:szCs w:val="20"/>
              </w:rPr>
            </w:pPr>
            <w:r w:rsidRPr="00FD647C">
              <w:rPr>
                <w:rFonts w:cstheme="minorHAnsi"/>
                <w:sz w:val="20"/>
                <w:szCs w:val="20"/>
              </w:rPr>
              <w:t xml:space="preserve">i documenti di spesa prodotti siano conformi alla legge, comprese quelle di natura fiscale, formalmente e sostanzialmente corretti; </w:t>
            </w:r>
          </w:p>
          <w:p w:rsidR="00FD647C" w:rsidRPr="00FD647C" w:rsidRDefault="00FD647C" w:rsidP="00FD647C">
            <w:pPr>
              <w:numPr>
                <w:ilvl w:val="0"/>
                <w:numId w:val="10"/>
              </w:numPr>
              <w:spacing w:after="0" w:line="240" w:lineRule="auto"/>
              <w:ind w:left="302" w:hanging="284"/>
              <w:rPr>
                <w:rFonts w:cstheme="minorHAnsi"/>
                <w:sz w:val="20"/>
                <w:szCs w:val="20"/>
              </w:rPr>
            </w:pPr>
            <w:r w:rsidRPr="00FD647C">
              <w:rPr>
                <w:rFonts w:cstheme="minorHAnsi"/>
                <w:sz w:val="20"/>
                <w:szCs w:val="20"/>
              </w:rPr>
              <w:t xml:space="preserve">le prestazioni eseguite o le forniture di cui si è preso carico rispondano ai requisiti quantitativi e qualitativi, ai termini e alle altre condizioni pattuite; </w:t>
            </w:r>
          </w:p>
          <w:p w:rsidR="00FD647C" w:rsidRPr="00FD647C" w:rsidRDefault="00FD647C" w:rsidP="00FD647C">
            <w:pPr>
              <w:numPr>
                <w:ilvl w:val="0"/>
                <w:numId w:val="10"/>
              </w:numPr>
              <w:spacing w:after="0" w:line="240" w:lineRule="auto"/>
              <w:ind w:left="302" w:hanging="284"/>
              <w:rPr>
                <w:rFonts w:cstheme="minorHAnsi"/>
                <w:sz w:val="20"/>
                <w:szCs w:val="20"/>
              </w:rPr>
            </w:pPr>
            <w:r w:rsidRPr="00FD647C">
              <w:rPr>
                <w:rFonts w:cstheme="minorHAnsi"/>
                <w:sz w:val="20"/>
                <w:szCs w:val="20"/>
              </w:rPr>
              <w:t>l’obbligazione sia esigibile, in quanto non sospesa da termine o condizione.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FD647C" w:rsidRPr="00FD647C" w:rsidRDefault="00FD647C" w:rsidP="00FD647C">
            <w:pPr>
              <w:spacing w:after="0" w:line="240" w:lineRule="auto"/>
              <w:rPr>
                <w:rFonts w:cstheme="minorHAnsi"/>
                <w:sz w:val="20"/>
                <w:szCs w:val="20"/>
              </w:rPr>
            </w:pPr>
            <w:r w:rsidRPr="00FD647C">
              <w:rPr>
                <w:rFonts w:cstheme="minorHAnsi"/>
                <w:sz w:val="20"/>
                <w:szCs w:val="20"/>
              </w:rPr>
              <w:t>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FD647C" w:rsidRPr="00FD647C" w:rsidRDefault="00FD647C" w:rsidP="00FD647C">
            <w:pPr>
              <w:spacing w:after="0" w:line="240" w:lineRule="auto"/>
              <w:rPr>
                <w:rFonts w:cstheme="minorHAnsi"/>
                <w:sz w:val="20"/>
                <w:szCs w:val="20"/>
              </w:rPr>
            </w:pPr>
            <w:r w:rsidRPr="00FD647C">
              <w:rPr>
                <w:rFonts w:cstheme="minorHAnsi"/>
                <w:sz w:val="20"/>
                <w:szCs w:val="20"/>
              </w:rPr>
              <w:t>no </w:t>
            </w:r>
          </w:p>
        </w:tc>
      </w:tr>
      <w:tr w:rsidR="00FD647C" w:rsidRPr="00FD647C"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FD647C" w:rsidRPr="00FD647C" w:rsidRDefault="00FD647C" w:rsidP="00FD647C">
            <w:pPr>
              <w:spacing w:after="0" w:line="240" w:lineRule="auto"/>
              <w:rPr>
                <w:rFonts w:cstheme="minorHAnsi"/>
                <w:sz w:val="20"/>
                <w:szCs w:val="20"/>
              </w:rPr>
            </w:pPr>
            <w:r w:rsidRPr="00FD647C">
              <w:rPr>
                <w:rFonts w:cstheme="minorHAnsi"/>
                <w:sz w:val="20"/>
                <w:szCs w:val="20"/>
              </w:rPr>
              <w:t>Obiettivo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FD647C" w:rsidRPr="00FD647C" w:rsidRDefault="00FD647C" w:rsidP="00FD647C">
            <w:pPr>
              <w:spacing w:after="0" w:line="240" w:lineRule="auto"/>
              <w:rPr>
                <w:rFonts w:cstheme="minorHAnsi"/>
                <w:sz w:val="20"/>
                <w:szCs w:val="20"/>
              </w:rPr>
            </w:pPr>
            <w:r w:rsidRPr="00FD647C">
              <w:rPr>
                <w:rFonts w:cstheme="minorHAnsi"/>
                <w:sz w:val="20"/>
                <w:szCs w:val="20"/>
              </w:rPr>
              <w:t xml:space="preserve">La liquidazione consente la puntuale determinazione della somma dovuta al creditore, per una determinata ragione, e deve essere effettuata tempestivamente, al fine di attestare l’esigibilità del credito nell’esercizio in cui è effettuata. Alla fine dell’esercizio, gli impegni contabili non liquidati o non liquidabili nell’esercizio in corso di gestione sono annullati e re-imputati nell’esercizio in cui l’obbligazione risulta esigibile.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FD647C" w:rsidRPr="00FD647C" w:rsidRDefault="00FD647C" w:rsidP="00FD647C">
            <w:pPr>
              <w:spacing w:after="0" w:line="240" w:lineRule="auto"/>
              <w:rPr>
                <w:rFonts w:cstheme="minorHAnsi"/>
                <w:sz w:val="20"/>
                <w:szCs w:val="20"/>
              </w:rPr>
            </w:pPr>
            <w:r w:rsidRPr="00FD647C">
              <w:rPr>
                <w:rFonts w:cstheme="minorHAnsi"/>
                <w:sz w:val="20"/>
                <w:szCs w:val="20"/>
              </w:rPr>
              <w:t>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FD647C" w:rsidRPr="00FD647C" w:rsidRDefault="00FD647C" w:rsidP="00FD647C">
            <w:pPr>
              <w:spacing w:after="0" w:line="240" w:lineRule="auto"/>
              <w:rPr>
                <w:rFonts w:cstheme="minorHAnsi"/>
                <w:sz w:val="20"/>
                <w:szCs w:val="20"/>
              </w:rPr>
            </w:pPr>
            <w:r w:rsidRPr="00FD647C">
              <w:rPr>
                <w:rFonts w:cstheme="minorHAnsi"/>
                <w:sz w:val="20"/>
                <w:szCs w:val="20"/>
              </w:rPr>
              <w:t>no </w:t>
            </w:r>
          </w:p>
        </w:tc>
      </w:tr>
      <w:tr w:rsidR="00FD647C" w:rsidRPr="00FD647C"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FD647C" w:rsidRPr="00FD647C" w:rsidRDefault="00FD647C" w:rsidP="00FD647C">
            <w:pPr>
              <w:spacing w:after="0" w:line="240" w:lineRule="auto"/>
              <w:rPr>
                <w:rFonts w:cstheme="minorHAnsi"/>
                <w:sz w:val="20"/>
                <w:szCs w:val="20"/>
              </w:rPr>
            </w:pPr>
            <w:r w:rsidRPr="00FD647C">
              <w:rPr>
                <w:rFonts w:cstheme="minorHAnsi"/>
                <w:sz w:val="20"/>
                <w:szCs w:val="20"/>
              </w:rPr>
              <w:t>autonomia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FD647C" w:rsidRPr="00FD647C" w:rsidRDefault="00FD647C" w:rsidP="00FD647C">
            <w:pPr>
              <w:spacing w:after="0" w:line="240" w:lineRule="auto"/>
              <w:rPr>
                <w:rFonts w:cstheme="minorHAnsi"/>
                <w:sz w:val="20"/>
                <w:szCs w:val="20"/>
              </w:rPr>
            </w:pPr>
            <w:r w:rsidRPr="00FD647C">
              <w:rPr>
                <w:rFonts w:cstheme="minorHAnsi"/>
                <w:sz w:val="20"/>
                <w:szCs w:val="20"/>
              </w:rPr>
              <w:t xml:space="preserve">La fase della liquidazione presenta una propria autonomia rispetto alla successiva fase dell’ordinazione della spesa. Pertanto, è necessario superare la prassi che prevede, in ogni caso, la contestuale liquidazione ed ordinazione della </w:t>
            </w:r>
            <w:r w:rsidRPr="00FD647C">
              <w:rPr>
                <w:rFonts w:cstheme="minorHAnsi"/>
                <w:sz w:val="20"/>
                <w:szCs w:val="20"/>
              </w:rPr>
              <w:lastRenderedPageBreak/>
              <w:t>spesa. Si ribadisce che la liquidazione è registrata quando l’obbligazione è esigibile.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FD647C" w:rsidRPr="00FD647C" w:rsidRDefault="00FD647C" w:rsidP="00FD647C">
            <w:pPr>
              <w:spacing w:after="0" w:line="240" w:lineRule="auto"/>
              <w:rPr>
                <w:rFonts w:cstheme="minorHAnsi"/>
                <w:sz w:val="20"/>
                <w:szCs w:val="20"/>
              </w:rPr>
            </w:pPr>
            <w:r w:rsidRPr="00FD647C">
              <w:rPr>
                <w:rFonts w:cstheme="minorHAnsi"/>
                <w:sz w:val="20"/>
                <w:szCs w:val="20"/>
              </w:rPr>
              <w:lastRenderedPageBreak/>
              <w:t>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FD647C" w:rsidRPr="00FD647C" w:rsidRDefault="00FD647C" w:rsidP="00FD647C">
            <w:pPr>
              <w:spacing w:after="0" w:line="240" w:lineRule="auto"/>
              <w:rPr>
                <w:rFonts w:cstheme="minorHAnsi"/>
                <w:sz w:val="20"/>
                <w:szCs w:val="20"/>
              </w:rPr>
            </w:pPr>
            <w:r w:rsidRPr="00FD647C">
              <w:rPr>
                <w:rFonts w:cstheme="minorHAnsi"/>
                <w:sz w:val="20"/>
                <w:szCs w:val="20"/>
              </w:rPr>
              <w:t>no </w:t>
            </w:r>
          </w:p>
        </w:tc>
      </w:tr>
      <w:tr w:rsidR="00541BF8" w:rsidRPr="00FD647C"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tcPr>
          <w:p w:rsidR="00541BF8" w:rsidRPr="00541BF8" w:rsidRDefault="00541BF8" w:rsidP="00FD647C">
            <w:pPr>
              <w:spacing w:after="0" w:line="240" w:lineRule="auto"/>
              <w:rPr>
                <w:rFonts w:cstheme="minorHAnsi"/>
                <w:b/>
                <w:bCs/>
                <w:sz w:val="20"/>
                <w:szCs w:val="20"/>
              </w:rPr>
            </w:pPr>
            <w:r w:rsidRPr="00541BF8">
              <w:rPr>
                <w:rFonts w:cstheme="minorHAnsi"/>
                <w:b/>
                <w:bCs/>
                <w:sz w:val="20"/>
                <w:szCs w:val="20"/>
              </w:rPr>
              <w:t xml:space="preserve">FASE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tcPr>
          <w:p w:rsidR="00541BF8" w:rsidRPr="00541BF8" w:rsidRDefault="00541BF8" w:rsidP="00FD647C">
            <w:pPr>
              <w:spacing w:after="0" w:line="240" w:lineRule="auto"/>
              <w:rPr>
                <w:rFonts w:cstheme="minorHAnsi"/>
                <w:b/>
                <w:bCs/>
                <w:sz w:val="20"/>
                <w:szCs w:val="20"/>
              </w:rPr>
            </w:pPr>
            <w:r w:rsidRPr="00541BF8">
              <w:rPr>
                <w:rFonts w:cstheme="minorHAnsi"/>
                <w:b/>
                <w:bCs/>
                <w:sz w:val="20"/>
                <w:szCs w:val="20"/>
              </w:rPr>
              <w:t>ORDINAZIONE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tcPr>
          <w:p w:rsidR="00541BF8" w:rsidRPr="00FD647C" w:rsidRDefault="00541BF8" w:rsidP="00FD647C">
            <w:pPr>
              <w:spacing w:after="0" w:line="240" w:lineRule="auto"/>
              <w:rPr>
                <w:rFonts w:cstheme="minorHAnsi"/>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tcPr>
          <w:p w:rsidR="00541BF8" w:rsidRPr="00FD647C" w:rsidRDefault="00541BF8" w:rsidP="00FD647C">
            <w:pPr>
              <w:spacing w:after="0" w:line="240" w:lineRule="auto"/>
              <w:rPr>
                <w:rFonts w:cstheme="minorHAnsi"/>
                <w:sz w:val="20"/>
                <w:szCs w:val="20"/>
              </w:rPr>
            </w:pPr>
          </w:p>
        </w:tc>
      </w:tr>
      <w:tr w:rsidR="00FD647C" w:rsidRPr="00FD647C"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FD647C" w:rsidRPr="00FD647C" w:rsidRDefault="00FD647C" w:rsidP="00FD647C">
            <w:pPr>
              <w:spacing w:after="0" w:line="240" w:lineRule="auto"/>
              <w:rPr>
                <w:rFonts w:cstheme="minorHAnsi"/>
                <w:sz w:val="20"/>
                <w:szCs w:val="20"/>
              </w:rPr>
            </w:pPr>
            <w:r w:rsidRPr="00FD647C">
              <w:rPr>
                <w:rFonts w:cstheme="minorHAnsi"/>
                <w:sz w:val="20"/>
                <w:szCs w:val="20"/>
              </w:rPr>
              <w:t>Mandato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FD647C" w:rsidRPr="00FD647C" w:rsidRDefault="00FD647C" w:rsidP="00FD647C">
            <w:pPr>
              <w:spacing w:after="0" w:line="240" w:lineRule="auto"/>
              <w:rPr>
                <w:rFonts w:cstheme="minorHAnsi"/>
                <w:sz w:val="20"/>
                <w:szCs w:val="20"/>
              </w:rPr>
            </w:pPr>
            <w:r w:rsidRPr="00FD647C">
              <w:rPr>
                <w:rFonts w:cstheme="minorHAnsi"/>
                <w:sz w:val="20"/>
                <w:szCs w:val="20"/>
              </w:rPr>
              <w:t xml:space="preserve">L’atto che contiene l’ordinazione è detto mandato di pagamento o ordine di pagamento e deve contenere tutti gli elementi informativi previsti dall’ordinamento e da eventuali altre disposizioni normative e regolamentari.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FD647C" w:rsidRPr="00FD647C" w:rsidRDefault="00FD647C" w:rsidP="00FD647C">
            <w:pPr>
              <w:spacing w:after="0" w:line="240" w:lineRule="auto"/>
              <w:rPr>
                <w:rFonts w:cstheme="minorHAnsi"/>
                <w:sz w:val="20"/>
                <w:szCs w:val="20"/>
              </w:rPr>
            </w:pPr>
            <w:r w:rsidRPr="00FD647C">
              <w:rPr>
                <w:rFonts w:cstheme="minorHAnsi"/>
                <w:sz w:val="20"/>
                <w:szCs w:val="20"/>
              </w:rPr>
              <w:t>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FD647C" w:rsidRPr="00FD647C" w:rsidRDefault="00FD647C" w:rsidP="00FD647C">
            <w:pPr>
              <w:spacing w:after="0" w:line="240" w:lineRule="auto"/>
              <w:rPr>
                <w:rFonts w:cstheme="minorHAnsi"/>
                <w:sz w:val="20"/>
                <w:szCs w:val="20"/>
              </w:rPr>
            </w:pPr>
            <w:r w:rsidRPr="00FD647C">
              <w:rPr>
                <w:rFonts w:cstheme="minorHAnsi"/>
                <w:sz w:val="20"/>
                <w:szCs w:val="20"/>
              </w:rPr>
              <w:t>no </w:t>
            </w:r>
          </w:p>
        </w:tc>
      </w:tr>
      <w:tr w:rsidR="00FD647C" w:rsidRPr="00FD647C"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FD647C" w:rsidRPr="00FD647C" w:rsidRDefault="00FD647C" w:rsidP="00FD647C">
            <w:pPr>
              <w:spacing w:after="0" w:line="240" w:lineRule="auto"/>
              <w:rPr>
                <w:rFonts w:cstheme="minorHAnsi"/>
                <w:sz w:val="20"/>
                <w:szCs w:val="20"/>
              </w:rPr>
            </w:pPr>
            <w:r w:rsidRPr="00FD647C">
              <w:rPr>
                <w:rFonts w:cstheme="minorHAnsi"/>
                <w:sz w:val="20"/>
                <w:szCs w:val="20"/>
              </w:rPr>
              <w:t>Codici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FD647C" w:rsidRPr="00FD647C" w:rsidRDefault="00FD647C" w:rsidP="00FD647C">
            <w:pPr>
              <w:spacing w:after="0" w:line="240" w:lineRule="auto"/>
              <w:rPr>
                <w:rFonts w:cstheme="minorHAnsi"/>
                <w:sz w:val="20"/>
                <w:szCs w:val="20"/>
              </w:rPr>
            </w:pPr>
            <w:r w:rsidRPr="00FD647C">
              <w:rPr>
                <w:rFonts w:cstheme="minorHAnsi"/>
                <w:sz w:val="20"/>
                <w:szCs w:val="20"/>
              </w:rPr>
              <w:t>In particolare, il mandato di pagamento deve riportare i codici identificativi previsti per la transazione elementare.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FD647C" w:rsidRPr="00FD647C" w:rsidRDefault="00FD647C" w:rsidP="00FD647C">
            <w:pPr>
              <w:spacing w:after="0" w:line="240" w:lineRule="auto"/>
              <w:rPr>
                <w:rFonts w:cstheme="minorHAnsi"/>
                <w:sz w:val="20"/>
                <w:szCs w:val="20"/>
              </w:rPr>
            </w:pPr>
            <w:r w:rsidRPr="00FD647C">
              <w:rPr>
                <w:rFonts w:cstheme="minorHAnsi"/>
                <w:sz w:val="20"/>
                <w:szCs w:val="20"/>
              </w:rPr>
              <w:t>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FD647C" w:rsidRPr="00FD647C" w:rsidRDefault="00FD647C" w:rsidP="00FD647C">
            <w:pPr>
              <w:spacing w:after="0" w:line="240" w:lineRule="auto"/>
              <w:rPr>
                <w:rFonts w:cstheme="minorHAnsi"/>
                <w:sz w:val="20"/>
                <w:szCs w:val="20"/>
              </w:rPr>
            </w:pPr>
            <w:r w:rsidRPr="00FD647C">
              <w:rPr>
                <w:rFonts w:cstheme="minorHAnsi"/>
                <w:sz w:val="20"/>
                <w:szCs w:val="20"/>
              </w:rPr>
              <w:t>no </w:t>
            </w:r>
          </w:p>
        </w:tc>
      </w:tr>
      <w:tr w:rsidR="00FD647C" w:rsidRPr="00FD647C"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FD647C" w:rsidRPr="00FD647C" w:rsidRDefault="00FD647C" w:rsidP="00FD647C">
            <w:pPr>
              <w:spacing w:after="0" w:line="240" w:lineRule="auto"/>
              <w:rPr>
                <w:rFonts w:cstheme="minorHAnsi"/>
                <w:sz w:val="20"/>
                <w:szCs w:val="20"/>
              </w:rPr>
            </w:pPr>
            <w:r w:rsidRPr="00FD647C">
              <w:rPr>
                <w:rFonts w:cstheme="minorHAnsi"/>
                <w:sz w:val="20"/>
                <w:szCs w:val="20"/>
              </w:rPr>
              <w:t>Conformità</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FD647C" w:rsidRPr="00FD647C" w:rsidRDefault="00FD647C" w:rsidP="00FD647C">
            <w:pPr>
              <w:spacing w:after="0" w:line="240" w:lineRule="auto"/>
              <w:rPr>
                <w:rFonts w:cstheme="minorHAnsi"/>
                <w:sz w:val="20"/>
                <w:szCs w:val="20"/>
              </w:rPr>
            </w:pPr>
            <w:r w:rsidRPr="00FD647C">
              <w:rPr>
                <w:rFonts w:cstheme="minorHAnsi"/>
                <w:sz w:val="20"/>
                <w:szCs w:val="20"/>
              </w:rPr>
              <w:t xml:space="preserve">Si auspica l’adozione dell’ordinativo informatico secondo le linee guida elaborate dalla DIGIT PA (ex CNIPA).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FD647C" w:rsidRPr="00FD647C" w:rsidRDefault="00FD647C" w:rsidP="00FD647C">
            <w:pPr>
              <w:spacing w:after="0" w:line="240" w:lineRule="auto"/>
              <w:rPr>
                <w:rFonts w:cstheme="minorHAnsi"/>
                <w:sz w:val="20"/>
                <w:szCs w:val="20"/>
              </w:rPr>
            </w:pPr>
            <w:r w:rsidRPr="00FD647C">
              <w:rPr>
                <w:rFonts w:cstheme="minorHAnsi"/>
                <w:sz w:val="20"/>
                <w:szCs w:val="20"/>
              </w:rPr>
              <w:t>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FD647C" w:rsidRPr="00FD647C" w:rsidRDefault="00FD647C" w:rsidP="00FD647C">
            <w:pPr>
              <w:spacing w:after="0" w:line="240" w:lineRule="auto"/>
              <w:rPr>
                <w:rFonts w:cstheme="minorHAnsi"/>
                <w:sz w:val="20"/>
                <w:szCs w:val="20"/>
              </w:rPr>
            </w:pPr>
            <w:r w:rsidRPr="00FD647C">
              <w:rPr>
                <w:rFonts w:cstheme="minorHAnsi"/>
                <w:sz w:val="20"/>
                <w:szCs w:val="20"/>
              </w:rPr>
              <w:t>no </w:t>
            </w:r>
          </w:p>
        </w:tc>
      </w:tr>
      <w:tr w:rsidR="00FD647C" w:rsidRPr="00FD647C"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FD647C" w:rsidRPr="00FD647C" w:rsidRDefault="00FD647C" w:rsidP="00FD647C">
            <w:pPr>
              <w:spacing w:after="0" w:line="240" w:lineRule="auto"/>
              <w:rPr>
                <w:rFonts w:cstheme="minorHAnsi"/>
                <w:sz w:val="20"/>
                <w:szCs w:val="20"/>
              </w:rPr>
            </w:pPr>
            <w:r w:rsidRPr="00FD647C">
              <w:rPr>
                <w:rFonts w:cstheme="minorHAnsi"/>
                <w:sz w:val="20"/>
                <w:szCs w:val="20"/>
              </w:rPr>
              <w:t>Documenti accompagnatori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FD647C" w:rsidRPr="00FD647C" w:rsidRDefault="00FD647C" w:rsidP="00FD647C">
            <w:pPr>
              <w:spacing w:after="0" w:line="240" w:lineRule="auto"/>
              <w:rPr>
                <w:rFonts w:cstheme="minorHAnsi"/>
                <w:sz w:val="20"/>
                <w:szCs w:val="20"/>
              </w:rPr>
            </w:pPr>
            <w:r w:rsidRPr="00FD647C">
              <w:rPr>
                <w:rFonts w:cstheme="minorHAnsi"/>
                <w:sz w:val="20"/>
                <w:szCs w:val="20"/>
              </w:rPr>
              <w:t>Ogni mandato di pagamento è corredato, a seconda dei casi, di documenti comprovanti la regolare esecuzione dei lavori, forniture e servizi, dai buoni di carico, quando si tratta di magazzino, dalla copia degli atti d'impegno o dall'annotazione degli estremi dell'atto di impegno, dalle note di liquidazione e da ogni altro documento che giustifichi la spesa.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FD647C" w:rsidRPr="00FD647C" w:rsidRDefault="00FD647C" w:rsidP="00FD647C">
            <w:pPr>
              <w:spacing w:after="0" w:line="240" w:lineRule="auto"/>
              <w:rPr>
                <w:rFonts w:cstheme="minorHAnsi"/>
                <w:sz w:val="20"/>
                <w:szCs w:val="20"/>
              </w:rPr>
            </w:pPr>
            <w:r w:rsidRPr="00FD647C">
              <w:rPr>
                <w:rFonts w:cstheme="minorHAnsi"/>
                <w:sz w:val="20"/>
                <w:szCs w:val="20"/>
              </w:rPr>
              <w:t>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FD647C" w:rsidRPr="00FD647C" w:rsidRDefault="00FD647C" w:rsidP="00FD647C">
            <w:pPr>
              <w:spacing w:after="0" w:line="240" w:lineRule="auto"/>
              <w:rPr>
                <w:rFonts w:cstheme="minorHAnsi"/>
                <w:sz w:val="20"/>
                <w:szCs w:val="20"/>
              </w:rPr>
            </w:pPr>
            <w:r w:rsidRPr="00FD647C">
              <w:rPr>
                <w:rFonts w:cstheme="minorHAnsi"/>
                <w:sz w:val="20"/>
                <w:szCs w:val="20"/>
              </w:rPr>
              <w:t>no </w:t>
            </w:r>
          </w:p>
        </w:tc>
      </w:tr>
      <w:tr w:rsidR="00FD647C" w:rsidRPr="00FD647C"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FD647C" w:rsidRPr="00FD647C" w:rsidRDefault="00FD647C" w:rsidP="00FD647C">
            <w:pPr>
              <w:spacing w:after="0" w:line="240" w:lineRule="auto"/>
              <w:rPr>
                <w:rFonts w:cstheme="minorHAnsi"/>
                <w:sz w:val="20"/>
                <w:szCs w:val="20"/>
              </w:rPr>
            </w:pPr>
            <w:r w:rsidRPr="00FD647C">
              <w:rPr>
                <w:rFonts w:cstheme="minorHAnsi"/>
                <w:sz w:val="20"/>
                <w:szCs w:val="20"/>
              </w:rPr>
              <w:t>conservazione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FD647C" w:rsidRPr="00FD647C" w:rsidRDefault="00FD647C" w:rsidP="00FD647C">
            <w:pPr>
              <w:spacing w:after="0" w:line="240" w:lineRule="auto"/>
              <w:rPr>
                <w:rFonts w:cstheme="minorHAnsi"/>
                <w:sz w:val="20"/>
                <w:szCs w:val="20"/>
              </w:rPr>
            </w:pPr>
            <w:r w:rsidRPr="00FD647C">
              <w:rPr>
                <w:rFonts w:cstheme="minorHAnsi"/>
                <w:sz w:val="20"/>
                <w:szCs w:val="20"/>
              </w:rPr>
              <w:t>La documentazione della spesa è allegata al mandato successivamente alla sua estinzione ed è conservata agli atti per non meno di dieci anni.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FD647C" w:rsidRPr="00FD647C" w:rsidRDefault="00FD647C" w:rsidP="00FD647C">
            <w:pPr>
              <w:spacing w:after="0" w:line="240" w:lineRule="auto"/>
              <w:rPr>
                <w:rFonts w:cstheme="minorHAnsi"/>
                <w:sz w:val="20"/>
                <w:szCs w:val="20"/>
              </w:rPr>
            </w:pPr>
            <w:r w:rsidRPr="00FD647C">
              <w:rPr>
                <w:rFonts w:cstheme="minorHAnsi"/>
                <w:sz w:val="20"/>
                <w:szCs w:val="20"/>
              </w:rPr>
              <w:t>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FD647C" w:rsidRPr="00FD647C" w:rsidRDefault="00FD647C" w:rsidP="00FD647C">
            <w:pPr>
              <w:spacing w:after="0" w:line="240" w:lineRule="auto"/>
              <w:rPr>
                <w:rFonts w:cstheme="minorHAnsi"/>
                <w:sz w:val="20"/>
                <w:szCs w:val="20"/>
              </w:rPr>
            </w:pPr>
            <w:r w:rsidRPr="00FD647C">
              <w:rPr>
                <w:rFonts w:cstheme="minorHAnsi"/>
                <w:sz w:val="20"/>
                <w:szCs w:val="20"/>
              </w:rPr>
              <w:t>no </w:t>
            </w:r>
          </w:p>
        </w:tc>
      </w:tr>
      <w:tr w:rsidR="00541BF8" w:rsidRPr="00FD647C"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tcPr>
          <w:p w:rsidR="00541BF8" w:rsidRPr="00541BF8" w:rsidRDefault="00541BF8" w:rsidP="00FD647C">
            <w:pPr>
              <w:spacing w:after="0" w:line="240" w:lineRule="auto"/>
              <w:rPr>
                <w:rFonts w:cstheme="minorHAnsi"/>
                <w:b/>
                <w:bCs/>
                <w:sz w:val="20"/>
                <w:szCs w:val="20"/>
              </w:rPr>
            </w:pPr>
            <w:r w:rsidRPr="00541BF8">
              <w:rPr>
                <w:rFonts w:cstheme="minorHAnsi"/>
                <w:b/>
                <w:bCs/>
                <w:sz w:val="20"/>
                <w:szCs w:val="20"/>
              </w:rPr>
              <w:t>FASE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tcPr>
          <w:p w:rsidR="00541BF8" w:rsidRPr="00541BF8" w:rsidRDefault="00541BF8" w:rsidP="00FD647C">
            <w:pPr>
              <w:spacing w:after="0" w:line="240" w:lineRule="auto"/>
              <w:rPr>
                <w:rFonts w:cstheme="minorHAnsi"/>
                <w:b/>
                <w:bCs/>
                <w:sz w:val="20"/>
                <w:szCs w:val="20"/>
              </w:rPr>
            </w:pPr>
            <w:r w:rsidRPr="00541BF8">
              <w:rPr>
                <w:rFonts w:cstheme="minorHAnsi"/>
                <w:b/>
                <w:bCs/>
                <w:sz w:val="20"/>
                <w:szCs w:val="20"/>
              </w:rPr>
              <w:t>PAGAMENTO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tcPr>
          <w:p w:rsidR="00541BF8" w:rsidRPr="00FD647C" w:rsidRDefault="00541BF8" w:rsidP="00FD647C">
            <w:pPr>
              <w:spacing w:after="0" w:line="240" w:lineRule="auto"/>
              <w:rPr>
                <w:rFonts w:cstheme="minorHAnsi"/>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tcPr>
          <w:p w:rsidR="00541BF8" w:rsidRPr="00FD647C" w:rsidRDefault="00541BF8" w:rsidP="00FD647C">
            <w:pPr>
              <w:spacing w:after="0" w:line="240" w:lineRule="auto"/>
              <w:rPr>
                <w:rFonts w:cstheme="minorHAnsi"/>
                <w:sz w:val="20"/>
                <w:szCs w:val="20"/>
              </w:rPr>
            </w:pPr>
          </w:p>
        </w:tc>
      </w:tr>
      <w:tr w:rsidR="00FD647C" w:rsidRPr="00FD647C"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FD647C" w:rsidRPr="00FD647C" w:rsidRDefault="00FD647C" w:rsidP="00FD647C">
            <w:pPr>
              <w:spacing w:after="0" w:line="240" w:lineRule="auto"/>
              <w:rPr>
                <w:rFonts w:cstheme="minorHAnsi"/>
                <w:sz w:val="20"/>
                <w:szCs w:val="20"/>
              </w:rPr>
            </w:pPr>
            <w:r w:rsidRPr="00FD647C">
              <w:rPr>
                <w:rFonts w:cstheme="minorHAnsi"/>
                <w:sz w:val="20"/>
                <w:szCs w:val="20"/>
              </w:rPr>
              <w:t>Imputazione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FD647C" w:rsidRPr="00FD647C" w:rsidRDefault="00FD647C" w:rsidP="00FD647C">
            <w:pPr>
              <w:spacing w:after="0" w:line="240" w:lineRule="auto"/>
              <w:rPr>
                <w:rFonts w:cstheme="minorHAnsi"/>
                <w:sz w:val="20"/>
                <w:szCs w:val="20"/>
              </w:rPr>
            </w:pPr>
            <w:r w:rsidRPr="00FD647C">
              <w:rPr>
                <w:rFonts w:cstheme="minorHAnsi"/>
                <w:sz w:val="20"/>
                <w:szCs w:val="20"/>
              </w:rPr>
              <w:t xml:space="preserve">Il pagamento è imputato contabilmente all’esercizio in cui il tesoriere ha effettuato il pagamento, anche se la comunicazione del tesoriere è pervenuta all’ente nell’esercizio successivo.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FD647C" w:rsidRPr="00FD647C" w:rsidRDefault="00FD647C" w:rsidP="00FD647C">
            <w:pPr>
              <w:spacing w:after="0" w:line="240" w:lineRule="auto"/>
              <w:rPr>
                <w:rFonts w:cstheme="minorHAnsi"/>
                <w:sz w:val="20"/>
                <w:szCs w:val="20"/>
              </w:rPr>
            </w:pPr>
            <w:r w:rsidRPr="00FD647C">
              <w:rPr>
                <w:rFonts w:cstheme="minorHAnsi"/>
                <w:sz w:val="20"/>
                <w:szCs w:val="20"/>
              </w:rPr>
              <w:t>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FD647C" w:rsidRPr="00FD647C" w:rsidRDefault="00FD647C" w:rsidP="00FD647C">
            <w:pPr>
              <w:spacing w:after="0" w:line="240" w:lineRule="auto"/>
              <w:rPr>
                <w:rFonts w:cstheme="minorHAnsi"/>
                <w:sz w:val="20"/>
                <w:szCs w:val="20"/>
              </w:rPr>
            </w:pPr>
            <w:r w:rsidRPr="00FD647C">
              <w:rPr>
                <w:rFonts w:cstheme="minorHAnsi"/>
                <w:sz w:val="20"/>
                <w:szCs w:val="20"/>
              </w:rPr>
              <w:t>no </w:t>
            </w:r>
          </w:p>
        </w:tc>
      </w:tr>
      <w:tr w:rsidR="00FD647C" w:rsidRPr="00FD647C"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FD647C" w:rsidRPr="00FD647C" w:rsidRDefault="00FD647C" w:rsidP="00FD647C">
            <w:pPr>
              <w:spacing w:after="0" w:line="240" w:lineRule="auto"/>
              <w:rPr>
                <w:rFonts w:cstheme="minorHAnsi"/>
                <w:sz w:val="20"/>
                <w:szCs w:val="20"/>
              </w:rPr>
            </w:pPr>
            <w:r w:rsidRPr="00FD647C">
              <w:rPr>
                <w:rFonts w:cstheme="minorHAnsi"/>
                <w:sz w:val="20"/>
                <w:szCs w:val="20"/>
              </w:rPr>
              <w:t>divieto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FD647C" w:rsidRPr="00FD647C" w:rsidRDefault="00FD647C" w:rsidP="00FD647C">
            <w:pPr>
              <w:spacing w:after="0" w:line="240" w:lineRule="auto"/>
              <w:rPr>
                <w:rFonts w:cstheme="minorHAnsi"/>
                <w:sz w:val="20"/>
                <w:szCs w:val="20"/>
              </w:rPr>
            </w:pPr>
            <w:r w:rsidRPr="00FD647C">
              <w:rPr>
                <w:rFonts w:cstheme="minorHAnsi"/>
                <w:sz w:val="20"/>
                <w:szCs w:val="20"/>
              </w:rPr>
              <w:t>Nel rispetto dell’articolo 7, comma 1, lettera b), del decreto legislativo 23 giugno 2011 n. 118, è vietata la temporanea contabilizzazione dei pagamenti tra le partite di giro/servizi per conto terzi.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FD647C" w:rsidRPr="00FD647C" w:rsidRDefault="00FD647C" w:rsidP="00FD647C">
            <w:pPr>
              <w:spacing w:after="0" w:line="240" w:lineRule="auto"/>
              <w:rPr>
                <w:rFonts w:cstheme="minorHAnsi"/>
                <w:sz w:val="20"/>
                <w:szCs w:val="20"/>
              </w:rPr>
            </w:pPr>
            <w:r w:rsidRPr="00FD647C">
              <w:rPr>
                <w:rFonts w:cstheme="minorHAnsi"/>
                <w:sz w:val="20"/>
                <w:szCs w:val="20"/>
              </w:rPr>
              <w:t>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FD647C" w:rsidRPr="00FD647C" w:rsidRDefault="00FD647C" w:rsidP="00FD647C">
            <w:pPr>
              <w:spacing w:after="0" w:line="240" w:lineRule="auto"/>
              <w:rPr>
                <w:rFonts w:cstheme="minorHAnsi"/>
                <w:sz w:val="20"/>
                <w:szCs w:val="20"/>
              </w:rPr>
            </w:pPr>
            <w:r w:rsidRPr="00FD647C">
              <w:rPr>
                <w:rFonts w:cstheme="minorHAnsi"/>
                <w:sz w:val="20"/>
                <w:szCs w:val="20"/>
              </w:rPr>
              <w:t>no </w:t>
            </w:r>
          </w:p>
        </w:tc>
      </w:tr>
      <w:tr w:rsidR="00FD647C" w:rsidRPr="00FD647C"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FD647C" w:rsidRPr="00FD647C" w:rsidRDefault="00FD647C" w:rsidP="00FD647C">
            <w:pPr>
              <w:spacing w:after="0" w:line="240" w:lineRule="auto"/>
              <w:rPr>
                <w:rFonts w:cstheme="minorHAnsi"/>
                <w:sz w:val="20"/>
                <w:szCs w:val="20"/>
              </w:rPr>
            </w:pPr>
            <w:r w:rsidRPr="00FD647C">
              <w:rPr>
                <w:rFonts w:cstheme="minorHAnsi"/>
                <w:sz w:val="20"/>
                <w:szCs w:val="20"/>
              </w:rPr>
              <w:t>regolarizzazioni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FD647C" w:rsidRPr="00FD647C" w:rsidRDefault="00FD647C" w:rsidP="00FD647C">
            <w:pPr>
              <w:spacing w:after="0" w:line="240" w:lineRule="auto"/>
              <w:rPr>
                <w:rFonts w:cstheme="minorHAnsi"/>
                <w:sz w:val="20"/>
                <w:szCs w:val="20"/>
              </w:rPr>
            </w:pPr>
            <w:r w:rsidRPr="00FD647C">
              <w:rPr>
                <w:rFonts w:cstheme="minorHAnsi"/>
                <w:sz w:val="20"/>
                <w:szCs w:val="20"/>
              </w:rPr>
              <w:t>Nei casi espressamente previsti dalla legge, è possibile che il tesoriere provveda direttamente al pagamento di somme prima dell’emissione del mandato da parte dell’ente. In ogni caso, l’ente emette il mandato ai fini della regolarizzazione entro 30 giorni dal pagamento (anche nel caso di esercizio provvisorio del bilancio)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FD647C" w:rsidRPr="00FD647C" w:rsidRDefault="00FD647C" w:rsidP="00FD647C">
            <w:pPr>
              <w:spacing w:after="0" w:line="240" w:lineRule="auto"/>
              <w:rPr>
                <w:rFonts w:cstheme="minorHAnsi"/>
                <w:sz w:val="20"/>
                <w:szCs w:val="20"/>
              </w:rPr>
            </w:pPr>
            <w:r w:rsidRPr="00FD647C">
              <w:rPr>
                <w:rFonts w:cstheme="minorHAnsi"/>
                <w:sz w:val="20"/>
                <w:szCs w:val="20"/>
              </w:rPr>
              <w:t>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FD647C" w:rsidRPr="00FD647C" w:rsidRDefault="00FD647C" w:rsidP="00FD647C">
            <w:pPr>
              <w:spacing w:after="0" w:line="240" w:lineRule="auto"/>
              <w:rPr>
                <w:rFonts w:cstheme="minorHAnsi"/>
                <w:sz w:val="20"/>
                <w:szCs w:val="20"/>
              </w:rPr>
            </w:pPr>
            <w:r w:rsidRPr="00FD647C">
              <w:rPr>
                <w:rFonts w:cstheme="minorHAnsi"/>
                <w:sz w:val="20"/>
                <w:szCs w:val="20"/>
              </w:rPr>
              <w:t>no </w:t>
            </w:r>
          </w:p>
        </w:tc>
      </w:tr>
      <w:tr w:rsidR="00FD647C" w:rsidRPr="00FD647C" w:rsidTr="00FD64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FD647C" w:rsidRPr="00FD647C" w:rsidRDefault="00FD647C" w:rsidP="00FD647C">
            <w:pPr>
              <w:spacing w:after="0" w:line="240" w:lineRule="auto"/>
              <w:rPr>
                <w:rFonts w:cstheme="minorHAnsi"/>
                <w:sz w:val="20"/>
                <w:szCs w:val="20"/>
              </w:rPr>
            </w:pPr>
            <w:r w:rsidRPr="00FD647C">
              <w:rPr>
                <w:rFonts w:cstheme="minorHAnsi"/>
                <w:sz w:val="20"/>
                <w:szCs w:val="20"/>
              </w:rPr>
              <w:t>regolarizzazioni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FD647C" w:rsidRPr="00FD647C" w:rsidRDefault="00FD647C" w:rsidP="00FD647C">
            <w:pPr>
              <w:spacing w:after="0" w:line="240" w:lineRule="auto"/>
              <w:rPr>
                <w:rFonts w:cstheme="minorHAnsi"/>
                <w:sz w:val="20"/>
                <w:szCs w:val="20"/>
              </w:rPr>
            </w:pPr>
            <w:r w:rsidRPr="00FD647C">
              <w:rPr>
                <w:rFonts w:cstheme="minorHAnsi"/>
                <w:sz w:val="20"/>
                <w:szCs w:val="20"/>
              </w:rPr>
              <w:t>I titoli di pagamento, che regolarizzano incassi e pagamenti effettuati dal cassiere/tesoriere nell’esercizio precedente, sono imputati contabilmente alla competenza finanziaria dell’esercizio precedente, anche se emessi nell’esercizio successivo.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FD647C" w:rsidRPr="00FD647C" w:rsidRDefault="00FD647C" w:rsidP="00FD647C">
            <w:pPr>
              <w:spacing w:after="0" w:line="240" w:lineRule="auto"/>
              <w:rPr>
                <w:rFonts w:cstheme="minorHAnsi"/>
                <w:sz w:val="20"/>
                <w:szCs w:val="20"/>
              </w:rPr>
            </w:pPr>
            <w:r w:rsidRPr="00FD647C">
              <w:rPr>
                <w:rFonts w:cstheme="minorHAnsi"/>
                <w:sz w:val="20"/>
                <w:szCs w:val="20"/>
              </w:rPr>
              <w:t>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hideMark/>
          </w:tcPr>
          <w:p w:rsidR="00FD647C" w:rsidRPr="00FD647C" w:rsidRDefault="00FD647C" w:rsidP="00FD647C">
            <w:pPr>
              <w:spacing w:after="0" w:line="240" w:lineRule="auto"/>
              <w:rPr>
                <w:rFonts w:cstheme="minorHAnsi"/>
                <w:sz w:val="20"/>
                <w:szCs w:val="20"/>
              </w:rPr>
            </w:pPr>
            <w:r w:rsidRPr="00FD647C">
              <w:rPr>
                <w:rFonts w:cstheme="minorHAnsi"/>
                <w:sz w:val="20"/>
                <w:szCs w:val="20"/>
              </w:rPr>
              <w:t>no </w:t>
            </w:r>
          </w:p>
        </w:tc>
      </w:tr>
    </w:tbl>
    <w:p w:rsidR="00385BB8" w:rsidRDefault="00385BB8"/>
    <w:sectPr w:rsidR="00385BB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E5DFE"/>
    <w:multiLevelType w:val="hybridMultilevel"/>
    <w:tmpl w:val="269A4A86"/>
    <w:lvl w:ilvl="0" w:tplc="599E77AC">
      <w:start w:val="1"/>
      <w:numFmt w:val="lowerLetter"/>
      <w:lvlText w:val="%1."/>
      <w:lvlJc w:val="left"/>
      <w:pPr>
        <w:tabs>
          <w:tab w:val="num" w:pos="720"/>
        </w:tabs>
        <w:ind w:left="720" w:hanging="360"/>
      </w:pPr>
    </w:lvl>
    <w:lvl w:ilvl="1" w:tplc="6DA49286">
      <w:start w:val="1"/>
      <w:numFmt w:val="lowerLetter"/>
      <w:lvlText w:val="%2."/>
      <w:lvlJc w:val="left"/>
      <w:pPr>
        <w:tabs>
          <w:tab w:val="num" w:pos="1440"/>
        </w:tabs>
        <w:ind w:left="1440" w:hanging="360"/>
      </w:pPr>
    </w:lvl>
    <w:lvl w:ilvl="2" w:tplc="AB14A502" w:tentative="1">
      <w:start w:val="1"/>
      <w:numFmt w:val="lowerLetter"/>
      <w:lvlText w:val="%3."/>
      <w:lvlJc w:val="left"/>
      <w:pPr>
        <w:tabs>
          <w:tab w:val="num" w:pos="2160"/>
        </w:tabs>
        <w:ind w:left="2160" w:hanging="360"/>
      </w:pPr>
    </w:lvl>
    <w:lvl w:ilvl="3" w:tplc="BD0C1456" w:tentative="1">
      <w:start w:val="1"/>
      <w:numFmt w:val="lowerLetter"/>
      <w:lvlText w:val="%4."/>
      <w:lvlJc w:val="left"/>
      <w:pPr>
        <w:tabs>
          <w:tab w:val="num" w:pos="2880"/>
        </w:tabs>
        <w:ind w:left="2880" w:hanging="360"/>
      </w:pPr>
    </w:lvl>
    <w:lvl w:ilvl="4" w:tplc="81D2D0E6" w:tentative="1">
      <w:start w:val="1"/>
      <w:numFmt w:val="lowerLetter"/>
      <w:lvlText w:val="%5."/>
      <w:lvlJc w:val="left"/>
      <w:pPr>
        <w:tabs>
          <w:tab w:val="num" w:pos="3600"/>
        </w:tabs>
        <w:ind w:left="3600" w:hanging="360"/>
      </w:pPr>
    </w:lvl>
    <w:lvl w:ilvl="5" w:tplc="A74C78F4" w:tentative="1">
      <w:start w:val="1"/>
      <w:numFmt w:val="lowerLetter"/>
      <w:lvlText w:val="%6."/>
      <w:lvlJc w:val="left"/>
      <w:pPr>
        <w:tabs>
          <w:tab w:val="num" w:pos="4320"/>
        </w:tabs>
        <w:ind w:left="4320" w:hanging="360"/>
      </w:pPr>
    </w:lvl>
    <w:lvl w:ilvl="6" w:tplc="C0DAF1DA" w:tentative="1">
      <w:start w:val="1"/>
      <w:numFmt w:val="lowerLetter"/>
      <w:lvlText w:val="%7."/>
      <w:lvlJc w:val="left"/>
      <w:pPr>
        <w:tabs>
          <w:tab w:val="num" w:pos="5040"/>
        </w:tabs>
        <w:ind w:left="5040" w:hanging="360"/>
      </w:pPr>
    </w:lvl>
    <w:lvl w:ilvl="7" w:tplc="CE4EFCE6" w:tentative="1">
      <w:start w:val="1"/>
      <w:numFmt w:val="lowerLetter"/>
      <w:lvlText w:val="%8."/>
      <w:lvlJc w:val="left"/>
      <w:pPr>
        <w:tabs>
          <w:tab w:val="num" w:pos="5760"/>
        </w:tabs>
        <w:ind w:left="5760" w:hanging="360"/>
      </w:pPr>
    </w:lvl>
    <w:lvl w:ilvl="8" w:tplc="B8BC9F6A" w:tentative="1">
      <w:start w:val="1"/>
      <w:numFmt w:val="lowerLetter"/>
      <w:lvlText w:val="%9."/>
      <w:lvlJc w:val="left"/>
      <w:pPr>
        <w:tabs>
          <w:tab w:val="num" w:pos="6480"/>
        </w:tabs>
        <w:ind w:left="6480" w:hanging="360"/>
      </w:pPr>
    </w:lvl>
  </w:abstractNum>
  <w:abstractNum w:abstractNumId="1" w15:restartNumberingAfterBreak="0">
    <w:nsid w:val="23647E2F"/>
    <w:multiLevelType w:val="hybridMultilevel"/>
    <w:tmpl w:val="4F827D36"/>
    <w:lvl w:ilvl="0" w:tplc="024689C4">
      <w:start w:val="1"/>
      <w:numFmt w:val="bullet"/>
      <w:lvlText w:val="•"/>
      <w:lvlJc w:val="left"/>
      <w:pPr>
        <w:tabs>
          <w:tab w:val="num" w:pos="720"/>
        </w:tabs>
        <w:ind w:left="720" w:hanging="360"/>
      </w:pPr>
      <w:rPr>
        <w:rFonts w:ascii="Arial" w:hAnsi="Arial" w:hint="default"/>
      </w:rPr>
    </w:lvl>
    <w:lvl w:ilvl="1" w:tplc="BA585488" w:tentative="1">
      <w:start w:val="1"/>
      <w:numFmt w:val="bullet"/>
      <w:lvlText w:val="•"/>
      <w:lvlJc w:val="left"/>
      <w:pPr>
        <w:tabs>
          <w:tab w:val="num" w:pos="1440"/>
        </w:tabs>
        <w:ind w:left="1440" w:hanging="360"/>
      </w:pPr>
      <w:rPr>
        <w:rFonts w:ascii="Arial" w:hAnsi="Arial" w:hint="default"/>
      </w:rPr>
    </w:lvl>
    <w:lvl w:ilvl="2" w:tplc="6B76002A" w:tentative="1">
      <w:start w:val="1"/>
      <w:numFmt w:val="bullet"/>
      <w:lvlText w:val="•"/>
      <w:lvlJc w:val="left"/>
      <w:pPr>
        <w:tabs>
          <w:tab w:val="num" w:pos="2160"/>
        </w:tabs>
        <w:ind w:left="2160" w:hanging="360"/>
      </w:pPr>
      <w:rPr>
        <w:rFonts w:ascii="Arial" w:hAnsi="Arial" w:hint="default"/>
      </w:rPr>
    </w:lvl>
    <w:lvl w:ilvl="3" w:tplc="B4F4A05C" w:tentative="1">
      <w:start w:val="1"/>
      <w:numFmt w:val="bullet"/>
      <w:lvlText w:val="•"/>
      <w:lvlJc w:val="left"/>
      <w:pPr>
        <w:tabs>
          <w:tab w:val="num" w:pos="2880"/>
        </w:tabs>
        <w:ind w:left="2880" w:hanging="360"/>
      </w:pPr>
      <w:rPr>
        <w:rFonts w:ascii="Arial" w:hAnsi="Arial" w:hint="default"/>
      </w:rPr>
    </w:lvl>
    <w:lvl w:ilvl="4" w:tplc="92204D36" w:tentative="1">
      <w:start w:val="1"/>
      <w:numFmt w:val="bullet"/>
      <w:lvlText w:val="•"/>
      <w:lvlJc w:val="left"/>
      <w:pPr>
        <w:tabs>
          <w:tab w:val="num" w:pos="3600"/>
        </w:tabs>
        <w:ind w:left="3600" w:hanging="360"/>
      </w:pPr>
      <w:rPr>
        <w:rFonts w:ascii="Arial" w:hAnsi="Arial" w:hint="default"/>
      </w:rPr>
    </w:lvl>
    <w:lvl w:ilvl="5" w:tplc="6E2E61EE" w:tentative="1">
      <w:start w:val="1"/>
      <w:numFmt w:val="bullet"/>
      <w:lvlText w:val="•"/>
      <w:lvlJc w:val="left"/>
      <w:pPr>
        <w:tabs>
          <w:tab w:val="num" w:pos="4320"/>
        </w:tabs>
        <w:ind w:left="4320" w:hanging="360"/>
      </w:pPr>
      <w:rPr>
        <w:rFonts w:ascii="Arial" w:hAnsi="Arial" w:hint="default"/>
      </w:rPr>
    </w:lvl>
    <w:lvl w:ilvl="6" w:tplc="46A821FE" w:tentative="1">
      <w:start w:val="1"/>
      <w:numFmt w:val="bullet"/>
      <w:lvlText w:val="•"/>
      <w:lvlJc w:val="left"/>
      <w:pPr>
        <w:tabs>
          <w:tab w:val="num" w:pos="5040"/>
        </w:tabs>
        <w:ind w:left="5040" w:hanging="360"/>
      </w:pPr>
      <w:rPr>
        <w:rFonts w:ascii="Arial" w:hAnsi="Arial" w:hint="default"/>
      </w:rPr>
    </w:lvl>
    <w:lvl w:ilvl="7" w:tplc="6E38C7DE" w:tentative="1">
      <w:start w:val="1"/>
      <w:numFmt w:val="bullet"/>
      <w:lvlText w:val="•"/>
      <w:lvlJc w:val="left"/>
      <w:pPr>
        <w:tabs>
          <w:tab w:val="num" w:pos="5760"/>
        </w:tabs>
        <w:ind w:left="5760" w:hanging="360"/>
      </w:pPr>
      <w:rPr>
        <w:rFonts w:ascii="Arial" w:hAnsi="Arial" w:hint="default"/>
      </w:rPr>
    </w:lvl>
    <w:lvl w:ilvl="8" w:tplc="263C56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B494DBD"/>
    <w:multiLevelType w:val="hybridMultilevel"/>
    <w:tmpl w:val="2E8ABA3E"/>
    <w:lvl w:ilvl="0" w:tplc="75F8226C">
      <w:start w:val="1"/>
      <w:numFmt w:val="bullet"/>
      <w:lvlText w:val="•"/>
      <w:lvlJc w:val="left"/>
      <w:pPr>
        <w:tabs>
          <w:tab w:val="num" w:pos="720"/>
        </w:tabs>
        <w:ind w:left="720" w:hanging="360"/>
      </w:pPr>
      <w:rPr>
        <w:rFonts w:ascii="Arial" w:hAnsi="Arial" w:hint="default"/>
      </w:rPr>
    </w:lvl>
    <w:lvl w:ilvl="1" w:tplc="DD2EC24A" w:tentative="1">
      <w:start w:val="1"/>
      <w:numFmt w:val="bullet"/>
      <w:lvlText w:val="•"/>
      <w:lvlJc w:val="left"/>
      <w:pPr>
        <w:tabs>
          <w:tab w:val="num" w:pos="1440"/>
        </w:tabs>
        <w:ind w:left="1440" w:hanging="360"/>
      </w:pPr>
      <w:rPr>
        <w:rFonts w:ascii="Arial" w:hAnsi="Arial" w:hint="default"/>
      </w:rPr>
    </w:lvl>
    <w:lvl w:ilvl="2" w:tplc="0EBE0B1C" w:tentative="1">
      <w:start w:val="1"/>
      <w:numFmt w:val="bullet"/>
      <w:lvlText w:val="•"/>
      <w:lvlJc w:val="left"/>
      <w:pPr>
        <w:tabs>
          <w:tab w:val="num" w:pos="2160"/>
        </w:tabs>
        <w:ind w:left="2160" w:hanging="360"/>
      </w:pPr>
      <w:rPr>
        <w:rFonts w:ascii="Arial" w:hAnsi="Arial" w:hint="default"/>
      </w:rPr>
    </w:lvl>
    <w:lvl w:ilvl="3" w:tplc="7C1A652A" w:tentative="1">
      <w:start w:val="1"/>
      <w:numFmt w:val="bullet"/>
      <w:lvlText w:val="•"/>
      <w:lvlJc w:val="left"/>
      <w:pPr>
        <w:tabs>
          <w:tab w:val="num" w:pos="2880"/>
        </w:tabs>
        <w:ind w:left="2880" w:hanging="360"/>
      </w:pPr>
      <w:rPr>
        <w:rFonts w:ascii="Arial" w:hAnsi="Arial" w:hint="default"/>
      </w:rPr>
    </w:lvl>
    <w:lvl w:ilvl="4" w:tplc="7D047C50" w:tentative="1">
      <w:start w:val="1"/>
      <w:numFmt w:val="bullet"/>
      <w:lvlText w:val="•"/>
      <w:lvlJc w:val="left"/>
      <w:pPr>
        <w:tabs>
          <w:tab w:val="num" w:pos="3600"/>
        </w:tabs>
        <w:ind w:left="3600" w:hanging="360"/>
      </w:pPr>
      <w:rPr>
        <w:rFonts w:ascii="Arial" w:hAnsi="Arial" w:hint="default"/>
      </w:rPr>
    </w:lvl>
    <w:lvl w:ilvl="5" w:tplc="B07E5EA4" w:tentative="1">
      <w:start w:val="1"/>
      <w:numFmt w:val="bullet"/>
      <w:lvlText w:val="•"/>
      <w:lvlJc w:val="left"/>
      <w:pPr>
        <w:tabs>
          <w:tab w:val="num" w:pos="4320"/>
        </w:tabs>
        <w:ind w:left="4320" w:hanging="360"/>
      </w:pPr>
      <w:rPr>
        <w:rFonts w:ascii="Arial" w:hAnsi="Arial" w:hint="default"/>
      </w:rPr>
    </w:lvl>
    <w:lvl w:ilvl="6" w:tplc="45D21750" w:tentative="1">
      <w:start w:val="1"/>
      <w:numFmt w:val="bullet"/>
      <w:lvlText w:val="•"/>
      <w:lvlJc w:val="left"/>
      <w:pPr>
        <w:tabs>
          <w:tab w:val="num" w:pos="5040"/>
        </w:tabs>
        <w:ind w:left="5040" w:hanging="360"/>
      </w:pPr>
      <w:rPr>
        <w:rFonts w:ascii="Arial" w:hAnsi="Arial" w:hint="default"/>
      </w:rPr>
    </w:lvl>
    <w:lvl w:ilvl="7" w:tplc="A5FE789E" w:tentative="1">
      <w:start w:val="1"/>
      <w:numFmt w:val="bullet"/>
      <w:lvlText w:val="•"/>
      <w:lvlJc w:val="left"/>
      <w:pPr>
        <w:tabs>
          <w:tab w:val="num" w:pos="5760"/>
        </w:tabs>
        <w:ind w:left="5760" w:hanging="360"/>
      </w:pPr>
      <w:rPr>
        <w:rFonts w:ascii="Arial" w:hAnsi="Arial" w:hint="default"/>
      </w:rPr>
    </w:lvl>
    <w:lvl w:ilvl="8" w:tplc="D09A631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CB712E9"/>
    <w:multiLevelType w:val="hybridMultilevel"/>
    <w:tmpl w:val="574EB9EE"/>
    <w:lvl w:ilvl="0" w:tplc="6D48003E">
      <w:start w:val="1"/>
      <w:numFmt w:val="bullet"/>
      <w:lvlText w:val="•"/>
      <w:lvlJc w:val="left"/>
      <w:pPr>
        <w:tabs>
          <w:tab w:val="num" w:pos="720"/>
        </w:tabs>
        <w:ind w:left="720" w:hanging="360"/>
      </w:pPr>
      <w:rPr>
        <w:rFonts w:ascii="Arial" w:hAnsi="Arial" w:hint="default"/>
      </w:rPr>
    </w:lvl>
    <w:lvl w:ilvl="1" w:tplc="993AD1A2" w:tentative="1">
      <w:start w:val="1"/>
      <w:numFmt w:val="bullet"/>
      <w:lvlText w:val="•"/>
      <w:lvlJc w:val="left"/>
      <w:pPr>
        <w:tabs>
          <w:tab w:val="num" w:pos="1440"/>
        </w:tabs>
        <w:ind w:left="1440" w:hanging="360"/>
      </w:pPr>
      <w:rPr>
        <w:rFonts w:ascii="Arial" w:hAnsi="Arial" w:hint="default"/>
      </w:rPr>
    </w:lvl>
    <w:lvl w:ilvl="2" w:tplc="F294D88C" w:tentative="1">
      <w:start w:val="1"/>
      <w:numFmt w:val="bullet"/>
      <w:lvlText w:val="•"/>
      <w:lvlJc w:val="left"/>
      <w:pPr>
        <w:tabs>
          <w:tab w:val="num" w:pos="2160"/>
        </w:tabs>
        <w:ind w:left="2160" w:hanging="360"/>
      </w:pPr>
      <w:rPr>
        <w:rFonts w:ascii="Arial" w:hAnsi="Arial" w:hint="default"/>
      </w:rPr>
    </w:lvl>
    <w:lvl w:ilvl="3" w:tplc="0BB224DA" w:tentative="1">
      <w:start w:val="1"/>
      <w:numFmt w:val="bullet"/>
      <w:lvlText w:val="•"/>
      <w:lvlJc w:val="left"/>
      <w:pPr>
        <w:tabs>
          <w:tab w:val="num" w:pos="2880"/>
        </w:tabs>
        <w:ind w:left="2880" w:hanging="360"/>
      </w:pPr>
      <w:rPr>
        <w:rFonts w:ascii="Arial" w:hAnsi="Arial" w:hint="default"/>
      </w:rPr>
    </w:lvl>
    <w:lvl w:ilvl="4" w:tplc="19C04454" w:tentative="1">
      <w:start w:val="1"/>
      <w:numFmt w:val="bullet"/>
      <w:lvlText w:val="•"/>
      <w:lvlJc w:val="left"/>
      <w:pPr>
        <w:tabs>
          <w:tab w:val="num" w:pos="3600"/>
        </w:tabs>
        <w:ind w:left="3600" w:hanging="360"/>
      </w:pPr>
      <w:rPr>
        <w:rFonts w:ascii="Arial" w:hAnsi="Arial" w:hint="default"/>
      </w:rPr>
    </w:lvl>
    <w:lvl w:ilvl="5" w:tplc="AD8C44F4" w:tentative="1">
      <w:start w:val="1"/>
      <w:numFmt w:val="bullet"/>
      <w:lvlText w:val="•"/>
      <w:lvlJc w:val="left"/>
      <w:pPr>
        <w:tabs>
          <w:tab w:val="num" w:pos="4320"/>
        </w:tabs>
        <w:ind w:left="4320" w:hanging="360"/>
      </w:pPr>
      <w:rPr>
        <w:rFonts w:ascii="Arial" w:hAnsi="Arial" w:hint="default"/>
      </w:rPr>
    </w:lvl>
    <w:lvl w:ilvl="6" w:tplc="9E280052" w:tentative="1">
      <w:start w:val="1"/>
      <w:numFmt w:val="bullet"/>
      <w:lvlText w:val="•"/>
      <w:lvlJc w:val="left"/>
      <w:pPr>
        <w:tabs>
          <w:tab w:val="num" w:pos="5040"/>
        </w:tabs>
        <w:ind w:left="5040" w:hanging="360"/>
      </w:pPr>
      <w:rPr>
        <w:rFonts w:ascii="Arial" w:hAnsi="Arial" w:hint="default"/>
      </w:rPr>
    </w:lvl>
    <w:lvl w:ilvl="7" w:tplc="A7481852" w:tentative="1">
      <w:start w:val="1"/>
      <w:numFmt w:val="bullet"/>
      <w:lvlText w:val="•"/>
      <w:lvlJc w:val="left"/>
      <w:pPr>
        <w:tabs>
          <w:tab w:val="num" w:pos="5760"/>
        </w:tabs>
        <w:ind w:left="5760" w:hanging="360"/>
      </w:pPr>
      <w:rPr>
        <w:rFonts w:ascii="Arial" w:hAnsi="Arial" w:hint="default"/>
      </w:rPr>
    </w:lvl>
    <w:lvl w:ilvl="8" w:tplc="6350675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6D54F87"/>
    <w:multiLevelType w:val="hybridMultilevel"/>
    <w:tmpl w:val="489294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D90408"/>
    <w:multiLevelType w:val="hybridMultilevel"/>
    <w:tmpl w:val="AFBA1AE2"/>
    <w:lvl w:ilvl="0" w:tplc="A5CC0236">
      <w:start w:val="1"/>
      <w:numFmt w:val="lowerLetter"/>
      <w:lvlText w:val="%1)"/>
      <w:lvlJc w:val="left"/>
      <w:pPr>
        <w:tabs>
          <w:tab w:val="num" w:pos="720"/>
        </w:tabs>
        <w:ind w:left="720" w:hanging="360"/>
      </w:pPr>
    </w:lvl>
    <w:lvl w:ilvl="1" w:tplc="3192383A" w:tentative="1">
      <w:start w:val="1"/>
      <w:numFmt w:val="lowerLetter"/>
      <w:lvlText w:val="%2)"/>
      <w:lvlJc w:val="left"/>
      <w:pPr>
        <w:tabs>
          <w:tab w:val="num" w:pos="1440"/>
        </w:tabs>
        <w:ind w:left="1440" w:hanging="360"/>
      </w:pPr>
    </w:lvl>
    <w:lvl w:ilvl="2" w:tplc="7DA491CC" w:tentative="1">
      <w:start w:val="1"/>
      <w:numFmt w:val="lowerLetter"/>
      <w:lvlText w:val="%3)"/>
      <w:lvlJc w:val="left"/>
      <w:pPr>
        <w:tabs>
          <w:tab w:val="num" w:pos="2160"/>
        </w:tabs>
        <w:ind w:left="2160" w:hanging="360"/>
      </w:pPr>
    </w:lvl>
    <w:lvl w:ilvl="3" w:tplc="ACFCC664" w:tentative="1">
      <w:start w:val="1"/>
      <w:numFmt w:val="lowerLetter"/>
      <w:lvlText w:val="%4)"/>
      <w:lvlJc w:val="left"/>
      <w:pPr>
        <w:tabs>
          <w:tab w:val="num" w:pos="2880"/>
        </w:tabs>
        <w:ind w:left="2880" w:hanging="360"/>
      </w:pPr>
    </w:lvl>
    <w:lvl w:ilvl="4" w:tplc="7048F5AC" w:tentative="1">
      <w:start w:val="1"/>
      <w:numFmt w:val="lowerLetter"/>
      <w:lvlText w:val="%5)"/>
      <w:lvlJc w:val="left"/>
      <w:pPr>
        <w:tabs>
          <w:tab w:val="num" w:pos="3600"/>
        </w:tabs>
        <w:ind w:left="3600" w:hanging="360"/>
      </w:pPr>
    </w:lvl>
    <w:lvl w:ilvl="5" w:tplc="72D23F4C" w:tentative="1">
      <w:start w:val="1"/>
      <w:numFmt w:val="lowerLetter"/>
      <w:lvlText w:val="%6)"/>
      <w:lvlJc w:val="left"/>
      <w:pPr>
        <w:tabs>
          <w:tab w:val="num" w:pos="4320"/>
        </w:tabs>
        <w:ind w:left="4320" w:hanging="360"/>
      </w:pPr>
    </w:lvl>
    <w:lvl w:ilvl="6" w:tplc="CF5CBC5E" w:tentative="1">
      <w:start w:val="1"/>
      <w:numFmt w:val="lowerLetter"/>
      <w:lvlText w:val="%7)"/>
      <w:lvlJc w:val="left"/>
      <w:pPr>
        <w:tabs>
          <w:tab w:val="num" w:pos="5040"/>
        </w:tabs>
        <w:ind w:left="5040" w:hanging="360"/>
      </w:pPr>
    </w:lvl>
    <w:lvl w:ilvl="7" w:tplc="FE78CC3A" w:tentative="1">
      <w:start w:val="1"/>
      <w:numFmt w:val="lowerLetter"/>
      <w:lvlText w:val="%8)"/>
      <w:lvlJc w:val="left"/>
      <w:pPr>
        <w:tabs>
          <w:tab w:val="num" w:pos="5760"/>
        </w:tabs>
        <w:ind w:left="5760" w:hanging="360"/>
      </w:pPr>
    </w:lvl>
    <w:lvl w:ilvl="8" w:tplc="82C8D9C4" w:tentative="1">
      <w:start w:val="1"/>
      <w:numFmt w:val="lowerLetter"/>
      <w:lvlText w:val="%9)"/>
      <w:lvlJc w:val="left"/>
      <w:pPr>
        <w:tabs>
          <w:tab w:val="num" w:pos="6480"/>
        </w:tabs>
        <w:ind w:left="6480" w:hanging="360"/>
      </w:pPr>
    </w:lvl>
  </w:abstractNum>
  <w:abstractNum w:abstractNumId="6" w15:restartNumberingAfterBreak="0">
    <w:nsid w:val="46A453BE"/>
    <w:multiLevelType w:val="hybridMultilevel"/>
    <w:tmpl w:val="F216D61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B2D30A8"/>
    <w:multiLevelType w:val="hybridMultilevel"/>
    <w:tmpl w:val="9F26EE06"/>
    <w:lvl w:ilvl="0" w:tplc="F93C30C4">
      <w:start w:val="1"/>
      <w:numFmt w:val="lowerLetter"/>
      <w:lvlText w:val="%1)"/>
      <w:lvlJc w:val="left"/>
      <w:pPr>
        <w:tabs>
          <w:tab w:val="num" w:pos="720"/>
        </w:tabs>
        <w:ind w:left="720" w:hanging="360"/>
      </w:pPr>
    </w:lvl>
    <w:lvl w:ilvl="1" w:tplc="2CDEBEC0" w:tentative="1">
      <w:start w:val="1"/>
      <w:numFmt w:val="lowerLetter"/>
      <w:lvlText w:val="%2)"/>
      <w:lvlJc w:val="left"/>
      <w:pPr>
        <w:tabs>
          <w:tab w:val="num" w:pos="1440"/>
        </w:tabs>
        <w:ind w:left="1440" w:hanging="360"/>
      </w:pPr>
    </w:lvl>
    <w:lvl w:ilvl="2" w:tplc="529E0594" w:tentative="1">
      <w:start w:val="1"/>
      <w:numFmt w:val="lowerLetter"/>
      <w:lvlText w:val="%3)"/>
      <w:lvlJc w:val="left"/>
      <w:pPr>
        <w:tabs>
          <w:tab w:val="num" w:pos="2160"/>
        </w:tabs>
        <w:ind w:left="2160" w:hanging="360"/>
      </w:pPr>
    </w:lvl>
    <w:lvl w:ilvl="3" w:tplc="5E705912" w:tentative="1">
      <w:start w:val="1"/>
      <w:numFmt w:val="lowerLetter"/>
      <w:lvlText w:val="%4)"/>
      <w:lvlJc w:val="left"/>
      <w:pPr>
        <w:tabs>
          <w:tab w:val="num" w:pos="2880"/>
        </w:tabs>
        <w:ind w:left="2880" w:hanging="360"/>
      </w:pPr>
    </w:lvl>
    <w:lvl w:ilvl="4" w:tplc="5D8673A8" w:tentative="1">
      <w:start w:val="1"/>
      <w:numFmt w:val="lowerLetter"/>
      <w:lvlText w:val="%5)"/>
      <w:lvlJc w:val="left"/>
      <w:pPr>
        <w:tabs>
          <w:tab w:val="num" w:pos="3600"/>
        </w:tabs>
        <w:ind w:left="3600" w:hanging="360"/>
      </w:pPr>
    </w:lvl>
    <w:lvl w:ilvl="5" w:tplc="7A3CCAA8" w:tentative="1">
      <w:start w:val="1"/>
      <w:numFmt w:val="lowerLetter"/>
      <w:lvlText w:val="%6)"/>
      <w:lvlJc w:val="left"/>
      <w:pPr>
        <w:tabs>
          <w:tab w:val="num" w:pos="4320"/>
        </w:tabs>
        <w:ind w:left="4320" w:hanging="360"/>
      </w:pPr>
    </w:lvl>
    <w:lvl w:ilvl="6" w:tplc="3CE46168" w:tentative="1">
      <w:start w:val="1"/>
      <w:numFmt w:val="lowerLetter"/>
      <w:lvlText w:val="%7)"/>
      <w:lvlJc w:val="left"/>
      <w:pPr>
        <w:tabs>
          <w:tab w:val="num" w:pos="5040"/>
        </w:tabs>
        <w:ind w:left="5040" w:hanging="360"/>
      </w:pPr>
    </w:lvl>
    <w:lvl w:ilvl="7" w:tplc="312CAA1E" w:tentative="1">
      <w:start w:val="1"/>
      <w:numFmt w:val="lowerLetter"/>
      <w:lvlText w:val="%8)"/>
      <w:lvlJc w:val="left"/>
      <w:pPr>
        <w:tabs>
          <w:tab w:val="num" w:pos="5760"/>
        </w:tabs>
        <w:ind w:left="5760" w:hanging="360"/>
      </w:pPr>
    </w:lvl>
    <w:lvl w:ilvl="8" w:tplc="BF40771E" w:tentative="1">
      <w:start w:val="1"/>
      <w:numFmt w:val="lowerLetter"/>
      <w:lvlText w:val="%9)"/>
      <w:lvlJc w:val="left"/>
      <w:pPr>
        <w:tabs>
          <w:tab w:val="num" w:pos="6480"/>
        </w:tabs>
        <w:ind w:left="6480" w:hanging="360"/>
      </w:pPr>
    </w:lvl>
  </w:abstractNum>
  <w:abstractNum w:abstractNumId="8" w15:restartNumberingAfterBreak="0">
    <w:nsid w:val="6974564E"/>
    <w:multiLevelType w:val="hybridMultilevel"/>
    <w:tmpl w:val="6526DC82"/>
    <w:lvl w:ilvl="0" w:tplc="E60275BC">
      <w:start w:val="1"/>
      <w:numFmt w:val="bullet"/>
      <w:lvlText w:val="•"/>
      <w:lvlJc w:val="left"/>
      <w:pPr>
        <w:tabs>
          <w:tab w:val="num" w:pos="720"/>
        </w:tabs>
        <w:ind w:left="720" w:hanging="360"/>
      </w:pPr>
      <w:rPr>
        <w:rFonts w:ascii="Arial" w:hAnsi="Arial" w:hint="default"/>
      </w:rPr>
    </w:lvl>
    <w:lvl w:ilvl="1" w:tplc="291CA0D8" w:tentative="1">
      <w:start w:val="1"/>
      <w:numFmt w:val="bullet"/>
      <w:lvlText w:val="•"/>
      <w:lvlJc w:val="left"/>
      <w:pPr>
        <w:tabs>
          <w:tab w:val="num" w:pos="1440"/>
        </w:tabs>
        <w:ind w:left="1440" w:hanging="360"/>
      </w:pPr>
      <w:rPr>
        <w:rFonts w:ascii="Arial" w:hAnsi="Arial" w:hint="default"/>
      </w:rPr>
    </w:lvl>
    <w:lvl w:ilvl="2" w:tplc="0ED69640" w:tentative="1">
      <w:start w:val="1"/>
      <w:numFmt w:val="bullet"/>
      <w:lvlText w:val="•"/>
      <w:lvlJc w:val="left"/>
      <w:pPr>
        <w:tabs>
          <w:tab w:val="num" w:pos="2160"/>
        </w:tabs>
        <w:ind w:left="2160" w:hanging="360"/>
      </w:pPr>
      <w:rPr>
        <w:rFonts w:ascii="Arial" w:hAnsi="Arial" w:hint="default"/>
      </w:rPr>
    </w:lvl>
    <w:lvl w:ilvl="3" w:tplc="BA20F832" w:tentative="1">
      <w:start w:val="1"/>
      <w:numFmt w:val="bullet"/>
      <w:lvlText w:val="•"/>
      <w:lvlJc w:val="left"/>
      <w:pPr>
        <w:tabs>
          <w:tab w:val="num" w:pos="2880"/>
        </w:tabs>
        <w:ind w:left="2880" w:hanging="360"/>
      </w:pPr>
      <w:rPr>
        <w:rFonts w:ascii="Arial" w:hAnsi="Arial" w:hint="default"/>
      </w:rPr>
    </w:lvl>
    <w:lvl w:ilvl="4" w:tplc="3CAA9B48" w:tentative="1">
      <w:start w:val="1"/>
      <w:numFmt w:val="bullet"/>
      <w:lvlText w:val="•"/>
      <w:lvlJc w:val="left"/>
      <w:pPr>
        <w:tabs>
          <w:tab w:val="num" w:pos="3600"/>
        </w:tabs>
        <w:ind w:left="3600" w:hanging="360"/>
      </w:pPr>
      <w:rPr>
        <w:rFonts w:ascii="Arial" w:hAnsi="Arial" w:hint="default"/>
      </w:rPr>
    </w:lvl>
    <w:lvl w:ilvl="5" w:tplc="89B088B4" w:tentative="1">
      <w:start w:val="1"/>
      <w:numFmt w:val="bullet"/>
      <w:lvlText w:val="•"/>
      <w:lvlJc w:val="left"/>
      <w:pPr>
        <w:tabs>
          <w:tab w:val="num" w:pos="4320"/>
        </w:tabs>
        <w:ind w:left="4320" w:hanging="360"/>
      </w:pPr>
      <w:rPr>
        <w:rFonts w:ascii="Arial" w:hAnsi="Arial" w:hint="default"/>
      </w:rPr>
    </w:lvl>
    <w:lvl w:ilvl="6" w:tplc="D062BA02" w:tentative="1">
      <w:start w:val="1"/>
      <w:numFmt w:val="bullet"/>
      <w:lvlText w:val="•"/>
      <w:lvlJc w:val="left"/>
      <w:pPr>
        <w:tabs>
          <w:tab w:val="num" w:pos="5040"/>
        </w:tabs>
        <w:ind w:left="5040" w:hanging="360"/>
      </w:pPr>
      <w:rPr>
        <w:rFonts w:ascii="Arial" w:hAnsi="Arial" w:hint="default"/>
      </w:rPr>
    </w:lvl>
    <w:lvl w:ilvl="7" w:tplc="61CC656E" w:tentative="1">
      <w:start w:val="1"/>
      <w:numFmt w:val="bullet"/>
      <w:lvlText w:val="•"/>
      <w:lvlJc w:val="left"/>
      <w:pPr>
        <w:tabs>
          <w:tab w:val="num" w:pos="5760"/>
        </w:tabs>
        <w:ind w:left="5760" w:hanging="360"/>
      </w:pPr>
      <w:rPr>
        <w:rFonts w:ascii="Arial" w:hAnsi="Arial" w:hint="default"/>
      </w:rPr>
    </w:lvl>
    <w:lvl w:ilvl="8" w:tplc="C8201B5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7D878D8"/>
    <w:multiLevelType w:val="hybridMultilevel"/>
    <w:tmpl w:val="9E90A9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07778704">
    <w:abstractNumId w:val="7"/>
  </w:num>
  <w:num w:numId="2" w16cid:durableId="1623923008">
    <w:abstractNumId w:val="3"/>
  </w:num>
  <w:num w:numId="3" w16cid:durableId="404764438">
    <w:abstractNumId w:val="1"/>
  </w:num>
  <w:num w:numId="4" w16cid:durableId="330572612">
    <w:abstractNumId w:val="2"/>
  </w:num>
  <w:num w:numId="5" w16cid:durableId="411854107">
    <w:abstractNumId w:val="8"/>
  </w:num>
  <w:num w:numId="6" w16cid:durableId="2120835968">
    <w:abstractNumId w:val="0"/>
  </w:num>
  <w:num w:numId="7" w16cid:durableId="1566647941">
    <w:abstractNumId w:val="5"/>
  </w:num>
  <w:num w:numId="8" w16cid:durableId="1189027389">
    <w:abstractNumId w:val="4"/>
  </w:num>
  <w:num w:numId="9" w16cid:durableId="864370283">
    <w:abstractNumId w:val="6"/>
  </w:num>
  <w:num w:numId="10" w16cid:durableId="2113081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9AD"/>
    <w:rsid w:val="00385BB8"/>
    <w:rsid w:val="00541BF8"/>
    <w:rsid w:val="00D919AD"/>
    <w:rsid w:val="00FD64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C62549"/>
  <w15:chartTrackingRefBased/>
  <w15:docId w15:val="{ECA975A7-F28C-4281-ACB6-7ACD8E177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6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177814447">
      <w:bodyDiv w:val="1"/>
      <w:marLeft w:val="0"/>
      <w:marRight w:val="0"/>
      <w:marTop w:val="0"/>
      <w:marBottom w:val="0"/>
      <w:divBdr>
        <w:top w:val="none" w:sz="0" w:space="0" w:color="auto"/>
        <w:left w:val="none" w:sz="0" w:space="0" w:color="auto"/>
        <w:bottom w:val="none" w:sz="0" w:space="0" w:color="auto"/>
        <w:right w:val="none" w:sz="0" w:space="0" w:color="auto"/>
      </w:divBdr>
    </w:div>
    <w:div w:id="333336356">
      <w:bodyDiv w:val="1"/>
      <w:marLeft w:val="0"/>
      <w:marRight w:val="0"/>
      <w:marTop w:val="0"/>
      <w:marBottom w:val="0"/>
      <w:divBdr>
        <w:top w:val="none" w:sz="0" w:space="0" w:color="auto"/>
        <w:left w:val="none" w:sz="0" w:space="0" w:color="auto"/>
        <w:bottom w:val="none" w:sz="0" w:space="0" w:color="auto"/>
        <w:right w:val="none" w:sz="0" w:space="0" w:color="auto"/>
      </w:divBdr>
      <w:divsChild>
        <w:div w:id="514223526">
          <w:marLeft w:val="547"/>
          <w:marRight w:val="0"/>
          <w:marTop w:val="0"/>
          <w:marBottom w:val="0"/>
          <w:divBdr>
            <w:top w:val="none" w:sz="0" w:space="0" w:color="auto"/>
            <w:left w:val="none" w:sz="0" w:space="0" w:color="auto"/>
            <w:bottom w:val="none" w:sz="0" w:space="0" w:color="auto"/>
            <w:right w:val="none" w:sz="0" w:space="0" w:color="auto"/>
          </w:divBdr>
        </w:div>
        <w:div w:id="571433933">
          <w:marLeft w:val="547"/>
          <w:marRight w:val="0"/>
          <w:marTop w:val="0"/>
          <w:marBottom w:val="0"/>
          <w:divBdr>
            <w:top w:val="none" w:sz="0" w:space="0" w:color="auto"/>
            <w:left w:val="none" w:sz="0" w:space="0" w:color="auto"/>
            <w:bottom w:val="none" w:sz="0" w:space="0" w:color="auto"/>
            <w:right w:val="none" w:sz="0" w:space="0" w:color="auto"/>
          </w:divBdr>
        </w:div>
        <w:div w:id="2069380633">
          <w:marLeft w:val="547"/>
          <w:marRight w:val="0"/>
          <w:marTop w:val="0"/>
          <w:marBottom w:val="0"/>
          <w:divBdr>
            <w:top w:val="none" w:sz="0" w:space="0" w:color="auto"/>
            <w:left w:val="none" w:sz="0" w:space="0" w:color="auto"/>
            <w:bottom w:val="none" w:sz="0" w:space="0" w:color="auto"/>
            <w:right w:val="none" w:sz="0" w:space="0" w:color="auto"/>
          </w:divBdr>
        </w:div>
        <w:div w:id="2000229177">
          <w:marLeft w:val="547"/>
          <w:marRight w:val="0"/>
          <w:marTop w:val="0"/>
          <w:marBottom w:val="0"/>
          <w:divBdr>
            <w:top w:val="none" w:sz="0" w:space="0" w:color="auto"/>
            <w:left w:val="none" w:sz="0" w:space="0" w:color="auto"/>
            <w:bottom w:val="none" w:sz="0" w:space="0" w:color="auto"/>
            <w:right w:val="none" w:sz="0" w:space="0" w:color="auto"/>
          </w:divBdr>
        </w:div>
        <w:div w:id="1165362371">
          <w:marLeft w:val="547"/>
          <w:marRight w:val="0"/>
          <w:marTop w:val="0"/>
          <w:marBottom w:val="0"/>
          <w:divBdr>
            <w:top w:val="none" w:sz="0" w:space="0" w:color="auto"/>
            <w:left w:val="none" w:sz="0" w:space="0" w:color="auto"/>
            <w:bottom w:val="none" w:sz="0" w:space="0" w:color="auto"/>
            <w:right w:val="none" w:sz="0" w:space="0" w:color="auto"/>
          </w:divBdr>
        </w:div>
      </w:divsChild>
    </w:div>
    <w:div w:id="419834995">
      <w:bodyDiv w:val="1"/>
      <w:marLeft w:val="0"/>
      <w:marRight w:val="0"/>
      <w:marTop w:val="0"/>
      <w:marBottom w:val="0"/>
      <w:divBdr>
        <w:top w:val="none" w:sz="0" w:space="0" w:color="auto"/>
        <w:left w:val="none" w:sz="0" w:space="0" w:color="auto"/>
        <w:bottom w:val="none" w:sz="0" w:space="0" w:color="auto"/>
        <w:right w:val="none" w:sz="0" w:space="0" w:color="auto"/>
      </w:divBdr>
    </w:div>
    <w:div w:id="534318064">
      <w:bodyDiv w:val="1"/>
      <w:marLeft w:val="0"/>
      <w:marRight w:val="0"/>
      <w:marTop w:val="0"/>
      <w:marBottom w:val="0"/>
      <w:divBdr>
        <w:top w:val="none" w:sz="0" w:space="0" w:color="auto"/>
        <w:left w:val="none" w:sz="0" w:space="0" w:color="auto"/>
        <w:bottom w:val="none" w:sz="0" w:space="0" w:color="auto"/>
        <w:right w:val="none" w:sz="0" w:space="0" w:color="auto"/>
      </w:divBdr>
    </w:div>
    <w:div w:id="539124833">
      <w:bodyDiv w:val="1"/>
      <w:marLeft w:val="0"/>
      <w:marRight w:val="0"/>
      <w:marTop w:val="0"/>
      <w:marBottom w:val="0"/>
      <w:divBdr>
        <w:top w:val="none" w:sz="0" w:space="0" w:color="auto"/>
        <w:left w:val="none" w:sz="0" w:space="0" w:color="auto"/>
        <w:bottom w:val="none" w:sz="0" w:space="0" w:color="auto"/>
        <w:right w:val="none" w:sz="0" w:space="0" w:color="auto"/>
      </w:divBdr>
    </w:div>
    <w:div w:id="626937701">
      <w:bodyDiv w:val="1"/>
      <w:marLeft w:val="0"/>
      <w:marRight w:val="0"/>
      <w:marTop w:val="0"/>
      <w:marBottom w:val="0"/>
      <w:divBdr>
        <w:top w:val="none" w:sz="0" w:space="0" w:color="auto"/>
        <w:left w:val="none" w:sz="0" w:space="0" w:color="auto"/>
        <w:bottom w:val="none" w:sz="0" w:space="0" w:color="auto"/>
        <w:right w:val="none" w:sz="0" w:space="0" w:color="auto"/>
      </w:divBdr>
    </w:div>
    <w:div w:id="640229868">
      <w:bodyDiv w:val="1"/>
      <w:marLeft w:val="0"/>
      <w:marRight w:val="0"/>
      <w:marTop w:val="0"/>
      <w:marBottom w:val="0"/>
      <w:divBdr>
        <w:top w:val="none" w:sz="0" w:space="0" w:color="auto"/>
        <w:left w:val="none" w:sz="0" w:space="0" w:color="auto"/>
        <w:bottom w:val="none" w:sz="0" w:space="0" w:color="auto"/>
        <w:right w:val="none" w:sz="0" w:space="0" w:color="auto"/>
      </w:divBdr>
    </w:div>
    <w:div w:id="902906502">
      <w:bodyDiv w:val="1"/>
      <w:marLeft w:val="0"/>
      <w:marRight w:val="0"/>
      <w:marTop w:val="0"/>
      <w:marBottom w:val="0"/>
      <w:divBdr>
        <w:top w:val="none" w:sz="0" w:space="0" w:color="auto"/>
        <w:left w:val="none" w:sz="0" w:space="0" w:color="auto"/>
        <w:bottom w:val="none" w:sz="0" w:space="0" w:color="auto"/>
        <w:right w:val="none" w:sz="0" w:space="0" w:color="auto"/>
      </w:divBdr>
    </w:div>
    <w:div w:id="973633016">
      <w:bodyDiv w:val="1"/>
      <w:marLeft w:val="0"/>
      <w:marRight w:val="0"/>
      <w:marTop w:val="0"/>
      <w:marBottom w:val="0"/>
      <w:divBdr>
        <w:top w:val="none" w:sz="0" w:space="0" w:color="auto"/>
        <w:left w:val="none" w:sz="0" w:space="0" w:color="auto"/>
        <w:bottom w:val="none" w:sz="0" w:space="0" w:color="auto"/>
        <w:right w:val="none" w:sz="0" w:space="0" w:color="auto"/>
      </w:divBdr>
    </w:div>
    <w:div w:id="983894358">
      <w:bodyDiv w:val="1"/>
      <w:marLeft w:val="0"/>
      <w:marRight w:val="0"/>
      <w:marTop w:val="0"/>
      <w:marBottom w:val="0"/>
      <w:divBdr>
        <w:top w:val="none" w:sz="0" w:space="0" w:color="auto"/>
        <w:left w:val="none" w:sz="0" w:space="0" w:color="auto"/>
        <w:bottom w:val="none" w:sz="0" w:space="0" w:color="auto"/>
        <w:right w:val="none" w:sz="0" w:space="0" w:color="auto"/>
      </w:divBdr>
    </w:div>
    <w:div w:id="1084493486">
      <w:bodyDiv w:val="1"/>
      <w:marLeft w:val="0"/>
      <w:marRight w:val="0"/>
      <w:marTop w:val="0"/>
      <w:marBottom w:val="0"/>
      <w:divBdr>
        <w:top w:val="none" w:sz="0" w:space="0" w:color="auto"/>
        <w:left w:val="none" w:sz="0" w:space="0" w:color="auto"/>
        <w:bottom w:val="none" w:sz="0" w:space="0" w:color="auto"/>
        <w:right w:val="none" w:sz="0" w:space="0" w:color="auto"/>
      </w:divBdr>
    </w:div>
    <w:div w:id="1112551935">
      <w:bodyDiv w:val="1"/>
      <w:marLeft w:val="0"/>
      <w:marRight w:val="0"/>
      <w:marTop w:val="0"/>
      <w:marBottom w:val="0"/>
      <w:divBdr>
        <w:top w:val="none" w:sz="0" w:space="0" w:color="auto"/>
        <w:left w:val="none" w:sz="0" w:space="0" w:color="auto"/>
        <w:bottom w:val="none" w:sz="0" w:space="0" w:color="auto"/>
        <w:right w:val="none" w:sz="0" w:space="0" w:color="auto"/>
      </w:divBdr>
      <w:divsChild>
        <w:div w:id="1011104961">
          <w:marLeft w:val="562"/>
          <w:marRight w:val="0"/>
          <w:marTop w:val="0"/>
          <w:marBottom w:val="0"/>
          <w:divBdr>
            <w:top w:val="none" w:sz="0" w:space="0" w:color="auto"/>
            <w:left w:val="none" w:sz="0" w:space="0" w:color="auto"/>
            <w:bottom w:val="none" w:sz="0" w:space="0" w:color="auto"/>
            <w:right w:val="none" w:sz="0" w:space="0" w:color="auto"/>
          </w:divBdr>
        </w:div>
        <w:div w:id="1137987470">
          <w:marLeft w:val="562"/>
          <w:marRight w:val="0"/>
          <w:marTop w:val="0"/>
          <w:marBottom w:val="0"/>
          <w:divBdr>
            <w:top w:val="none" w:sz="0" w:space="0" w:color="auto"/>
            <w:left w:val="none" w:sz="0" w:space="0" w:color="auto"/>
            <w:bottom w:val="none" w:sz="0" w:space="0" w:color="auto"/>
            <w:right w:val="none" w:sz="0" w:space="0" w:color="auto"/>
          </w:divBdr>
        </w:div>
      </w:divsChild>
    </w:div>
    <w:div w:id="1113985905">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255359504">
      <w:bodyDiv w:val="1"/>
      <w:marLeft w:val="0"/>
      <w:marRight w:val="0"/>
      <w:marTop w:val="0"/>
      <w:marBottom w:val="0"/>
      <w:divBdr>
        <w:top w:val="none" w:sz="0" w:space="0" w:color="auto"/>
        <w:left w:val="none" w:sz="0" w:space="0" w:color="auto"/>
        <w:bottom w:val="none" w:sz="0" w:space="0" w:color="auto"/>
        <w:right w:val="none" w:sz="0" w:space="0" w:color="auto"/>
      </w:divBdr>
    </w:div>
    <w:div w:id="1515994978">
      <w:bodyDiv w:val="1"/>
      <w:marLeft w:val="0"/>
      <w:marRight w:val="0"/>
      <w:marTop w:val="0"/>
      <w:marBottom w:val="0"/>
      <w:divBdr>
        <w:top w:val="none" w:sz="0" w:space="0" w:color="auto"/>
        <w:left w:val="none" w:sz="0" w:space="0" w:color="auto"/>
        <w:bottom w:val="none" w:sz="0" w:space="0" w:color="auto"/>
        <w:right w:val="none" w:sz="0" w:space="0" w:color="auto"/>
      </w:divBdr>
    </w:div>
    <w:div w:id="1646006602">
      <w:bodyDiv w:val="1"/>
      <w:marLeft w:val="0"/>
      <w:marRight w:val="0"/>
      <w:marTop w:val="0"/>
      <w:marBottom w:val="0"/>
      <w:divBdr>
        <w:top w:val="none" w:sz="0" w:space="0" w:color="auto"/>
        <w:left w:val="none" w:sz="0" w:space="0" w:color="auto"/>
        <w:bottom w:val="none" w:sz="0" w:space="0" w:color="auto"/>
        <w:right w:val="none" w:sz="0" w:space="0" w:color="auto"/>
      </w:divBdr>
    </w:div>
    <w:div w:id="1664699500">
      <w:bodyDiv w:val="1"/>
      <w:marLeft w:val="0"/>
      <w:marRight w:val="0"/>
      <w:marTop w:val="0"/>
      <w:marBottom w:val="0"/>
      <w:divBdr>
        <w:top w:val="none" w:sz="0" w:space="0" w:color="auto"/>
        <w:left w:val="none" w:sz="0" w:space="0" w:color="auto"/>
        <w:bottom w:val="none" w:sz="0" w:space="0" w:color="auto"/>
        <w:right w:val="none" w:sz="0" w:space="0" w:color="auto"/>
      </w:divBdr>
      <w:divsChild>
        <w:div w:id="88702670">
          <w:marLeft w:val="720"/>
          <w:marRight w:val="0"/>
          <w:marTop w:val="0"/>
          <w:marBottom w:val="0"/>
          <w:divBdr>
            <w:top w:val="none" w:sz="0" w:space="0" w:color="auto"/>
            <w:left w:val="none" w:sz="0" w:space="0" w:color="auto"/>
            <w:bottom w:val="none" w:sz="0" w:space="0" w:color="auto"/>
            <w:right w:val="none" w:sz="0" w:space="0" w:color="auto"/>
          </w:divBdr>
        </w:div>
        <w:div w:id="1943106676">
          <w:marLeft w:val="720"/>
          <w:marRight w:val="0"/>
          <w:marTop w:val="0"/>
          <w:marBottom w:val="0"/>
          <w:divBdr>
            <w:top w:val="none" w:sz="0" w:space="0" w:color="auto"/>
            <w:left w:val="none" w:sz="0" w:space="0" w:color="auto"/>
            <w:bottom w:val="none" w:sz="0" w:space="0" w:color="auto"/>
            <w:right w:val="none" w:sz="0" w:space="0" w:color="auto"/>
          </w:divBdr>
        </w:div>
        <w:div w:id="1674332987">
          <w:marLeft w:val="720"/>
          <w:marRight w:val="0"/>
          <w:marTop w:val="0"/>
          <w:marBottom w:val="0"/>
          <w:divBdr>
            <w:top w:val="none" w:sz="0" w:space="0" w:color="auto"/>
            <w:left w:val="none" w:sz="0" w:space="0" w:color="auto"/>
            <w:bottom w:val="none" w:sz="0" w:space="0" w:color="auto"/>
            <w:right w:val="none" w:sz="0" w:space="0" w:color="auto"/>
          </w:divBdr>
        </w:div>
        <w:div w:id="1995720692">
          <w:marLeft w:val="720"/>
          <w:marRight w:val="0"/>
          <w:marTop w:val="0"/>
          <w:marBottom w:val="0"/>
          <w:divBdr>
            <w:top w:val="none" w:sz="0" w:space="0" w:color="auto"/>
            <w:left w:val="none" w:sz="0" w:space="0" w:color="auto"/>
            <w:bottom w:val="none" w:sz="0" w:space="0" w:color="auto"/>
            <w:right w:val="none" w:sz="0" w:space="0" w:color="auto"/>
          </w:divBdr>
        </w:div>
      </w:divsChild>
    </w:div>
    <w:div w:id="1763331324">
      <w:bodyDiv w:val="1"/>
      <w:marLeft w:val="0"/>
      <w:marRight w:val="0"/>
      <w:marTop w:val="0"/>
      <w:marBottom w:val="0"/>
      <w:divBdr>
        <w:top w:val="none" w:sz="0" w:space="0" w:color="auto"/>
        <w:left w:val="none" w:sz="0" w:space="0" w:color="auto"/>
        <w:bottom w:val="none" w:sz="0" w:space="0" w:color="auto"/>
        <w:right w:val="none" w:sz="0" w:space="0" w:color="auto"/>
      </w:divBdr>
    </w:div>
    <w:div w:id="1772359111">
      <w:bodyDiv w:val="1"/>
      <w:marLeft w:val="0"/>
      <w:marRight w:val="0"/>
      <w:marTop w:val="0"/>
      <w:marBottom w:val="0"/>
      <w:divBdr>
        <w:top w:val="none" w:sz="0" w:space="0" w:color="auto"/>
        <w:left w:val="none" w:sz="0" w:space="0" w:color="auto"/>
        <w:bottom w:val="none" w:sz="0" w:space="0" w:color="auto"/>
        <w:right w:val="none" w:sz="0" w:space="0" w:color="auto"/>
      </w:divBdr>
      <w:divsChild>
        <w:div w:id="2039232588">
          <w:marLeft w:val="446"/>
          <w:marRight w:val="0"/>
          <w:marTop w:val="0"/>
          <w:marBottom w:val="0"/>
          <w:divBdr>
            <w:top w:val="none" w:sz="0" w:space="0" w:color="auto"/>
            <w:left w:val="none" w:sz="0" w:space="0" w:color="auto"/>
            <w:bottom w:val="none" w:sz="0" w:space="0" w:color="auto"/>
            <w:right w:val="none" w:sz="0" w:space="0" w:color="auto"/>
          </w:divBdr>
        </w:div>
        <w:div w:id="22564150">
          <w:marLeft w:val="446"/>
          <w:marRight w:val="0"/>
          <w:marTop w:val="0"/>
          <w:marBottom w:val="0"/>
          <w:divBdr>
            <w:top w:val="none" w:sz="0" w:space="0" w:color="auto"/>
            <w:left w:val="none" w:sz="0" w:space="0" w:color="auto"/>
            <w:bottom w:val="none" w:sz="0" w:space="0" w:color="auto"/>
            <w:right w:val="none" w:sz="0" w:space="0" w:color="auto"/>
          </w:divBdr>
        </w:div>
      </w:divsChild>
    </w:div>
    <w:div w:id="1829398737">
      <w:bodyDiv w:val="1"/>
      <w:marLeft w:val="0"/>
      <w:marRight w:val="0"/>
      <w:marTop w:val="0"/>
      <w:marBottom w:val="0"/>
      <w:divBdr>
        <w:top w:val="none" w:sz="0" w:space="0" w:color="auto"/>
        <w:left w:val="none" w:sz="0" w:space="0" w:color="auto"/>
        <w:bottom w:val="none" w:sz="0" w:space="0" w:color="auto"/>
        <w:right w:val="none" w:sz="0" w:space="0" w:color="auto"/>
      </w:divBdr>
    </w:div>
    <w:div w:id="1851067135">
      <w:bodyDiv w:val="1"/>
      <w:marLeft w:val="0"/>
      <w:marRight w:val="0"/>
      <w:marTop w:val="0"/>
      <w:marBottom w:val="0"/>
      <w:divBdr>
        <w:top w:val="none" w:sz="0" w:space="0" w:color="auto"/>
        <w:left w:val="none" w:sz="0" w:space="0" w:color="auto"/>
        <w:bottom w:val="none" w:sz="0" w:space="0" w:color="auto"/>
        <w:right w:val="none" w:sz="0" w:space="0" w:color="auto"/>
      </w:divBdr>
      <w:divsChild>
        <w:div w:id="766660847">
          <w:marLeft w:val="446"/>
          <w:marRight w:val="0"/>
          <w:marTop w:val="0"/>
          <w:marBottom w:val="0"/>
          <w:divBdr>
            <w:top w:val="none" w:sz="0" w:space="0" w:color="auto"/>
            <w:left w:val="none" w:sz="0" w:space="0" w:color="auto"/>
            <w:bottom w:val="none" w:sz="0" w:space="0" w:color="auto"/>
            <w:right w:val="none" w:sz="0" w:space="0" w:color="auto"/>
          </w:divBdr>
        </w:div>
        <w:div w:id="986979274">
          <w:marLeft w:val="446"/>
          <w:marRight w:val="0"/>
          <w:marTop w:val="0"/>
          <w:marBottom w:val="0"/>
          <w:divBdr>
            <w:top w:val="none" w:sz="0" w:space="0" w:color="auto"/>
            <w:left w:val="none" w:sz="0" w:space="0" w:color="auto"/>
            <w:bottom w:val="none" w:sz="0" w:space="0" w:color="auto"/>
            <w:right w:val="none" w:sz="0" w:space="0" w:color="auto"/>
          </w:divBdr>
        </w:div>
      </w:divsChild>
    </w:div>
    <w:div w:id="1932007607">
      <w:bodyDiv w:val="1"/>
      <w:marLeft w:val="0"/>
      <w:marRight w:val="0"/>
      <w:marTop w:val="0"/>
      <w:marBottom w:val="0"/>
      <w:divBdr>
        <w:top w:val="none" w:sz="0" w:space="0" w:color="auto"/>
        <w:left w:val="none" w:sz="0" w:space="0" w:color="auto"/>
        <w:bottom w:val="none" w:sz="0" w:space="0" w:color="auto"/>
        <w:right w:val="none" w:sz="0" w:space="0" w:color="auto"/>
      </w:divBdr>
    </w:div>
    <w:div w:id="1953124552">
      <w:bodyDiv w:val="1"/>
      <w:marLeft w:val="0"/>
      <w:marRight w:val="0"/>
      <w:marTop w:val="0"/>
      <w:marBottom w:val="0"/>
      <w:divBdr>
        <w:top w:val="none" w:sz="0" w:space="0" w:color="auto"/>
        <w:left w:val="none" w:sz="0" w:space="0" w:color="auto"/>
        <w:bottom w:val="none" w:sz="0" w:space="0" w:color="auto"/>
        <w:right w:val="none" w:sz="0" w:space="0" w:color="auto"/>
      </w:divBdr>
      <w:divsChild>
        <w:div w:id="1467236718">
          <w:marLeft w:val="446"/>
          <w:marRight w:val="0"/>
          <w:marTop w:val="0"/>
          <w:marBottom w:val="0"/>
          <w:divBdr>
            <w:top w:val="none" w:sz="0" w:space="0" w:color="auto"/>
            <w:left w:val="none" w:sz="0" w:space="0" w:color="auto"/>
            <w:bottom w:val="none" w:sz="0" w:space="0" w:color="auto"/>
            <w:right w:val="none" w:sz="0" w:space="0" w:color="auto"/>
          </w:divBdr>
        </w:div>
        <w:div w:id="556164914">
          <w:marLeft w:val="446"/>
          <w:marRight w:val="0"/>
          <w:marTop w:val="0"/>
          <w:marBottom w:val="0"/>
          <w:divBdr>
            <w:top w:val="none" w:sz="0" w:space="0" w:color="auto"/>
            <w:left w:val="none" w:sz="0" w:space="0" w:color="auto"/>
            <w:bottom w:val="none" w:sz="0" w:space="0" w:color="auto"/>
            <w:right w:val="none" w:sz="0" w:space="0" w:color="auto"/>
          </w:divBdr>
        </w:div>
        <w:div w:id="200285857">
          <w:marLeft w:val="446"/>
          <w:marRight w:val="0"/>
          <w:marTop w:val="0"/>
          <w:marBottom w:val="0"/>
          <w:divBdr>
            <w:top w:val="none" w:sz="0" w:space="0" w:color="auto"/>
            <w:left w:val="none" w:sz="0" w:space="0" w:color="auto"/>
            <w:bottom w:val="none" w:sz="0" w:space="0" w:color="auto"/>
            <w:right w:val="none" w:sz="0" w:space="0" w:color="auto"/>
          </w:divBdr>
        </w:div>
        <w:div w:id="1883975143">
          <w:marLeft w:val="446"/>
          <w:marRight w:val="0"/>
          <w:marTop w:val="0"/>
          <w:marBottom w:val="0"/>
          <w:divBdr>
            <w:top w:val="none" w:sz="0" w:space="0" w:color="auto"/>
            <w:left w:val="none" w:sz="0" w:space="0" w:color="auto"/>
            <w:bottom w:val="none" w:sz="0" w:space="0" w:color="auto"/>
            <w:right w:val="none" w:sz="0" w:space="0" w:color="auto"/>
          </w:divBdr>
        </w:div>
        <w:div w:id="474183878">
          <w:marLeft w:val="446"/>
          <w:marRight w:val="0"/>
          <w:marTop w:val="0"/>
          <w:marBottom w:val="0"/>
          <w:divBdr>
            <w:top w:val="none" w:sz="0" w:space="0" w:color="auto"/>
            <w:left w:val="none" w:sz="0" w:space="0" w:color="auto"/>
            <w:bottom w:val="none" w:sz="0" w:space="0" w:color="auto"/>
            <w:right w:val="none" w:sz="0" w:space="0" w:color="auto"/>
          </w:divBdr>
        </w:div>
      </w:divsChild>
    </w:div>
    <w:div w:id="1965230390">
      <w:bodyDiv w:val="1"/>
      <w:marLeft w:val="0"/>
      <w:marRight w:val="0"/>
      <w:marTop w:val="0"/>
      <w:marBottom w:val="0"/>
      <w:divBdr>
        <w:top w:val="none" w:sz="0" w:space="0" w:color="auto"/>
        <w:left w:val="none" w:sz="0" w:space="0" w:color="auto"/>
        <w:bottom w:val="none" w:sz="0" w:space="0" w:color="auto"/>
        <w:right w:val="none" w:sz="0" w:space="0" w:color="auto"/>
      </w:divBdr>
    </w:div>
    <w:div w:id="2121411024">
      <w:bodyDiv w:val="1"/>
      <w:marLeft w:val="0"/>
      <w:marRight w:val="0"/>
      <w:marTop w:val="0"/>
      <w:marBottom w:val="0"/>
      <w:divBdr>
        <w:top w:val="none" w:sz="0" w:space="0" w:color="auto"/>
        <w:left w:val="none" w:sz="0" w:space="0" w:color="auto"/>
        <w:bottom w:val="none" w:sz="0" w:space="0" w:color="auto"/>
        <w:right w:val="none" w:sz="0" w:space="0" w:color="auto"/>
      </w:divBdr>
    </w:div>
    <w:div w:id="2129277329">
      <w:bodyDiv w:val="1"/>
      <w:marLeft w:val="0"/>
      <w:marRight w:val="0"/>
      <w:marTop w:val="0"/>
      <w:marBottom w:val="0"/>
      <w:divBdr>
        <w:top w:val="none" w:sz="0" w:space="0" w:color="auto"/>
        <w:left w:val="none" w:sz="0" w:space="0" w:color="auto"/>
        <w:bottom w:val="none" w:sz="0" w:space="0" w:color="auto"/>
        <w:right w:val="none" w:sz="0" w:space="0" w:color="auto"/>
      </w:divBdr>
      <w:divsChild>
        <w:div w:id="1107894167">
          <w:marLeft w:val="446"/>
          <w:marRight w:val="0"/>
          <w:marTop w:val="0"/>
          <w:marBottom w:val="0"/>
          <w:divBdr>
            <w:top w:val="none" w:sz="0" w:space="0" w:color="auto"/>
            <w:left w:val="none" w:sz="0" w:space="0" w:color="auto"/>
            <w:bottom w:val="none" w:sz="0" w:space="0" w:color="auto"/>
            <w:right w:val="none" w:sz="0" w:space="0" w:color="auto"/>
          </w:divBdr>
        </w:div>
        <w:div w:id="200477712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10</Pages>
  <Words>6041</Words>
  <Characters>34434</Characters>
  <Application>Microsoft Office Word</Application>
  <DocSecurity>0</DocSecurity>
  <Lines>286</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dc:creator>
  <cp:keywords/>
  <dc:description/>
  <cp:lastModifiedBy>Davide</cp:lastModifiedBy>
  <cp:revision>1</cp:revision>
  <dcterms:created xsi:type="dcterms:W3CDTF">2023-05-16T16:38:00Z</dcterms:created>
  <dcterms:modified xsi:type="dcterms:W3CDTF">2023-05-16T17:04:00Z</dcterms:modified>
</cp:coreProperties>
</file>